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81B97" w14:textId="77777777" w:rsidR="00F00A0B" w:rsidRDefault="00015A15" w:rsidP="002613D9">
      <w:pPr>
        <w:pStyle w:val="Heading3"/>
        <w:jc w:val="center"/>
      </w:pPr>
      <w:r>
        <w:t>Request for Proposals (RFP)</w:t>
      </w:r>
    </w:p>
    <w:p w14:paraId="50275B87" w14:textId="53221EC4" w:rsidR="00F00A0B" w:rsidRDefault="00015A15" w:rsidP="002613D9">
      <w:pPr>
        <w:jc w:val="center"/>
      </w:pPr>
      <w:r>
        <w:rPr>
          <w:b/>
        </w:rPr>
        <w:t>Executive Search Services for Executive Director</w:t>
      </w:r>
      <w:r>
        <w:rPr>
          <w:b/>
        </w:rPr>
        <w:br/>
      </w:r>
      <w:r w:rsidR="00C47D36" w:rsidRPr="0053298A">
        <w:t>St. Johns County Airport Authority</w:t>
      </w:r>
      <w:r w:rsidRPr="0053298A">
        <w:br/>
        <w:t xml:space="preserve">RFP No. </w:t>
      </w:r>
      <w:r w:rsidR="008C7ABD" w:rsidRPr="0053298A">
        <w:t>2025-01</w:t>
      </w:r>
      <w:r w:rsidRPr="0053298A">
        <w:br/>
        <w:t xml:space="preserve">Issue Date: </w:t>
      </w:r>
      <w:r w:rsidR="008C7ABD">
        <w:t>November 1</w:t>
      </w:r>
      <w:r w:rsidR="0053298A">
        <w:t>1, 2025</w:t>
      </w:r>
    </w:p>
    <w:p w14:paraId="10EF24A2" w14:textId="77777777" w:rsidR="00F00A0B" w:rsidRDefault="00015A15">
      <w:pPr>
        <w:pStyle w:val="Heading3"/>
      </w:pPr>
      <w:r>
        <w:t>1. Introduction and Notice</w:t>
      </w:r>
    </w:p>
    <w:p w14:paraId="415D257B" w14:textId="5362F4D7" w:rsidR="00F00A0B" w:rsidRDefault="00015A15">
      <w:r>
        <w:t xml:space="preserve">The </w:t>
      </w:r>
      <w:r w:rsidR="00C47D36">
        <w:t>St. Johns County Airport Authority</w:t>
      </w:r>
      <w:r>
        <w:t xml:space="preserve"> (the “Authority”) invites qualified executive search firms to submit proposals to conduct a nationwide search for the position of Executive Director of the Authority. The selected firm will provide comprehensive executive search services, including needs assessment, candidate sourcing, screening, stakeholder engagement, facilitation of interviews, background and reference checks, assistance with negotiations, and onboarding support. The procurement will be conducted in accordance with applicable Florida law and the Authority’s procurement policies and procedures.</w:t>
      </w:r>
    </w:p>
    <w:p w14:paraId="2D73B63A" w14:textId="77777777" w:rsidR="00F00A0B" w:rsidRDefault="00015A15">
      <w:r>
        <w:t>This RFP and all procurement-related documents are subject to Florida’s public records and open government requirements. Respondents are advised to review the instructions and compliance requirements herein before submitting a proposal.</w:t>
      </w:r>
    </w:p>
    <w:p w14:paraId="4B22A10B" w14:textId="77777777" w:rsidR="00F00A0B" w:rsidRDefault="00015A15">
      <w:pPr>
        <w:pStyle w:val="Heading3"/>
      </w:pPr>
      <w:r>
        <w:t>2. Authority Background and Objectives</w:t>
      </w:r>
    </w:p>
    <w:p w14:paraId="0A88F1E6" w14:textId="77777777" w:rsidR="00F00A0B" w:rsidRDefault="00015A15">
      <w:r>
        <w:t xml:space="preserve">The Authority owns and operates the </w:t>
      </w:r>
      <w:r w:rsidR="002613D9">
        <w:t>St. Augustine Airport</w:t>
      </w:r>
      <w:r>
        <w:t xml:space="preserve"> (UST) in St. Johns County, Florida. The Executive Director is the chief executive officer responsible for leadership, strategic planning, operations, financial management, safety and regulatory compliance, community and stakeholder relations, and execution of the Authority’s mission and policies under the direction of its governing Board.</w:t>
      </w:r>
    </w:p>
    <w:p w14:paraId="42B4C24C" w14:textId="77777777" w:rsidR="00F00A0B" w:rsidRDefault="00015A15">
      <w:r>
        <w:t>The Authority seeks a search firm with proven experience recruiting senior airport, aviation, public sector, and/or complex enterprise executives, capable of identifying, vetting, and presenting a diverse slate of highly qualified candidates and supporting a transparent, timely, and successful selection process.</w:t>
      </w:r>
    </w:p>
    <w:p w14:paraId="2B8EAADD" w14:textId="77777777" w:rsidR="00F00A0B" w:rsidRDefault="00015A15">
      <w:pPr>
        <w:pStyle w:val="Heading3"/>
      </w:pPr>
      <w:r>
        <w:t>3. Scope of Services</w:t>
      </w:r>
    </w:p>
    <w:p w14:paraId="1B3D9E2E" w14:textId="77777777" w:rsidR="00F00A0B" w:rsidRDefault="00015A15">
      <w:r>
        <w:t>The selected firm will provide, at a minimum, the following services:</w:t>
      </w:r>
    </w:p>
    <w:p w14:paraId="25E9FF8A" w14:textId="77777777" w:rsidR="00F00A0B" w:rsidRDefault="00015A15">
      <w:r>
        <w:t>3.1 Project Planning and Position Profiling. Conduct a project kickoff; review the Authority’s strategic priorities; develop an Executive Director position profile, leadership competencies, and selection criteria tailored to the Authority; advise on market compensation ranges; and finalize a recruitment timeline.</w:t>
      </w:r>
    </w:p>
    <w:p w14:paraId="1CFD06C9" w14:textId="77777777" w:rsidR="00F00A0B" w:rsidRDefault="00015A15">
      <w:r>
        <w:t>3.2 Stakeholder Engagement. Conduct structured input sessions with Authority Board members, key staff, community partners, and other stakeholders identified by the Authority to inform the profile and outreach strategy.</w:t>
      </w:r>
    </w:p>
    <w:p w14:paraId="31FA0298" w14:textId="77777777" w:rsidR="00F00A0B" w:rsidRDefault="00015A15">
      <w:r>
        <w:t xml:space="preserve">3.3 Candidate Sourcing and Outreach. Execute a national search strategy, including targeted outreach, direct recruitment of passive candidates, professional network engagement, and posting </w:t>
      </w:r>
      <w:r>
        <w:lastRenderedPageBreak/>
        <w:t>to relevant industry platforms. Implement a diversity, equity, and inclusion outreach plan designed to broaden and diversify the candidate pool.</w:t>
      </w:r>
    </w:p>
    <w:p w14:paraId="5F425630" w14:textId="77777777" w:rsidR="00F00A0B" w:rsidRDefault="00015A15">
      <w:r>
        <w:t>3.4 Screening and Evaluation. Apply agreed-upon evaluation criteria; perform preliminary interviews; assess leadership competencies and organizational fit; and present a recommended longlist and refined shortlist with comparative summaries.</w:t>
      </w:r>
    </w:p>
    <w:p w14:paraId="0EF14888" w14:textId="77777777" w:rsidR="00F00A0B" w:rsidRDefault="00015A15">
      <w:r>
        <w:t>3.5 Due Diligence. Conduct reference checks, academic and credential verification, and appropriate background checks as authorized by the Authority and in compliance with applicable law. Advise on any potential conflicts of interest or reputational risks.</w:t>
      </w:r>
    </w:p>
    <w:p w14:paraId="59783BC2" w14:textId="77777777" w:rsidR="00F00A0B" w:rsidRDefault="00015A15">
      <w:r>
        <w:t>3.6 Board Support and Process Management. Prepare candidate materials; schedule and facilitate interviews; advise on interview design and selection methodology; coordinate candidate travel and logistics (if applicable); and support the Authority’s deliberations in public meetings, as required by Florida law.</w:t>
      </w:r>
    </w:p>
    <w:p w14:paraId="74995DB6" w14:textId="77777777" w:rsidR="00F00A0B" w:rsidRDefault="00015A15">
      <w:r>
        <w:t>3.7 Negotiation Support and Onboarding. Provide market data and negotiation support for compensation and benefits (as directed by the Authority); assist with finalist communications; and support onboarding planning in coordination with the Authority.</w:t>
      </w:r>
    </w:p>
    <w:p w14:paraId="3AACFFF6" w14:textId="77777777" w:rsidR="00F00A0B" w:rsidRDefault="00015A15">
      <w:r>
        <w:t>3.8 Reporting and Communications. Provide regular written progress reports; maintain a communication plan compliant with any applicable “cone of silence” or communication restrictions set by the Authority; and immediately disclose any potential conflicts or issues.</w:t>
      </w:r>
    </w:p>
    <w:p w14:paraId="19E44920" w14:textId="77777777" w:rsidR="00F00A0B" w:rsidRDefault="00015A15">
      <w:r>
        <w:t>3.9 Guarantees and Replacement. Propose a placement guarantee period and replacement search terms, including circumstances that trigger the guarantee.</w:t>
      </w:r>
    </w:p>
    <w:p w14:paraId="65D61269" w14:textId="77777777" w:rsidR="00F00A0B" w:rsidRDefault="00015A15">
      <w:pPr>
        <w:pStyle w:val="Heading3"/>
      </w:pPr>
      <w:r>
        <w:t>4. Minimum Qualifications</w:t>
      </w:r>
    </w:p>
    <w:p w14:paraId="608D326A" w14:textId="77777777" w:rsidR="00F00A0B" w:rsidRDefault="00015A15">
      <w:r>
        <w:t>Respondents must demonstrate:</w:t>
      </w:r>
    </w:p>
    <w:p w14:paraId="23D3F868" w14:textId="77777777" w:rsidR="00F00A0B" w:rsidRDefault="00015A15">
      <w:pPr>
        <w:pStyle w:val="ListBullet"/>
      </w:pPr>
      <w:r>
        <w:t>At least five years of executive search experience, with successful placements at the C-suite or equivalent level in airport, aviation, transportation, public sector, or comparably complex organizations.</w:t>
      </w:r>
    </w:p>
    <w:p w14:paraId="15ED76D7" w14:textId="77777777" w:rsidR="00F00A0B" w:rsidRDefault="00015A15">
      <w:pPr>
        <w:pStyle w:val="ListBullet"/>
      </w:pPr>
      <w:r>
        <w:t>Experience supporting selections conducted under public sector transparency and meeting requirements.</w:t>
      </w:r>
    </w:p>
    <w:p w14:paraId="51F4CD67" w14:textId="77777777" w:rsidR="00F00A0B" w:rsidRDefault="00015A15">
      <w:pPr>
        <w:pStyle w:val="ListBullet"/>
      </w:pPr>
      <w:r>
        <w:t>Capacity to complete the search within the timeline proposed by the Authority.</w:t>
      </w:r>
    </w:p>
    <w:p w14:paraId="3778C435" w14:textId="77777777" w:rsidR="00F00A0B" w:rsidRDefault="00015A15">
      <w:pPr>
        <w:pStyle w:val="ListBullet"/>
      </w:pPr>
      <w:r>
        <w:t>No conflicts of interest with the Authority, its Board members, or key staff.</w:t>
      </w:r>
    </w:p>
    <w:p w14:paraId="2F0BEC4A" w14:textId="77777777" w:rsidR="00F00A0B" w:rsidRDefault="00015A15">
      <w:pPr>
        <w:pStyle w:val="Heading3"/>
      </w:pPr>
      <w:r>
        <w:t>5. Procurement Timeline</w:t>
      </w:r>
    </w:p>
    <w:p w14:paraId="77748DD9" w14:textId="77777777" w:rsidR="00F00A0B" w:rsidRDefault="00015A15">
      <w:r>
        <w:t>The following schedule is tentative and subject to change by the Authority by addendum:</w:t>
      </w:r>
    </w:p>
    <w:p w14:paraId="4D72BC29" w14:textId="0710B336" w:rsidR="00F00A0B" w:rsidRPr="00F24AE3" w:rsidRDefault="00015A15">
      <w:pPr>
        <w:pStyle w:val="ListBullet"/>
      </w:pPr>
      <w:r w:rsidRPr="00F24AE3">
        <w:t xml:space="preserve">RFP Issued: </w:t>
      </w:r>
      <w:r w:rsidR="00F24AE3">
        <w:t>November 11, 2025</w:t>
      </w:r>
    </w:p>
    <w:p w14:paraId="45A95453" w14:textId="18350D50" w:rsidR="00F00A0B" w:rsidRPr="00F24AE3" w:rsidRDefault="00015A15">
      <w:pPr>
        <w:pStyle w:val="ListBullet"/>
      </w:pPr>
      <w:r w:rsidRPr="00F24AE3">
        <w:t xml:space="preserve">Deadline for Questions: </w:t>
      </w:r>
      <w:r w:rsidR="00E14158">
        <w:t xml:space="preserve">November 26, </w:t>
      </w:r>
      <w:proofErr w:type="gramStart"/>
      <w:r w:rsidR="00E14158">
        <w:t>2025</w:t>
      </w:r>
      <w:proofErr w:type="gramEnd"/>
      <w:r w:rsidRPr="00F24AE3">
        <w:t xml:space="preserve"> at </w:t>
      </w:r>
      <w:r w:rsidR="00E14158">
        <w:t>12 Noon</w:t>
      </w:r>
      <w:r w:rsidRPr="00F24AE3">
        <w:t xml:space="preserve"> ET</w:t>
      </w:r>
    </w:p>
    <w:p w14:paraId="0C14CF6B" w14:textId="68E11FCE" w:rsidR="00F00A0B" w:rsidRPr="00F24AE3" w:rsidRDefault="00015A15">
      <w:pPr>
        <w:pStyle w:val="ListBullet"/>
      </w:pPr>
      <w:r w:rsidRPr="00F24AE3">
        <w:t xml:space="preserve">Responses to Questions (Addendum): </w:t>
      </w:r>
      <w:r w:rsidR="00BC57D0">
        <w:t xml:space="preserve">December 3, </w:t>
      </w:r>
      <w:proofErr w:type="gramStart"/>
      <w:r w:rsidR="00BC57D0">
        <w:t>2025</w:t>
      </w:r>
      <w:proofErr w:type="gramEnd"/>
      <w:r w:rsidR="00BC57D0">
        <w:t xml:space="preserve"> at 12 Noon ET</w:t>
      </w:r>
    </w:p>
    <w:p w14:paraId="1565F87E" w14:textId="49D68707" w:rsidR="00F00A0B" w:rsidRPr="00F24AE3" w:rsidRDefault="00015A15">
      <w:pPr>
        <w:pStyle w:val="ListBullet"/>
      </w:pPr>
      <w:r w:rsidRPr="00F24AE3">
        <w:t xml:space="preserve">Proposal Due Date: </w:t>
      </w:r>
      <w:r w:rsidR="00BC57D0">
        <w:t xml:space="preserve">January 14, </w:t>
      </w:r>
      <w:proofErr w:type="gramStart"/>
      <w:r w:rsidR="00BC57D0">
        <w:t>2026</w:t>
      </w:r>
      <w:proofErr w:type="gramEnd"/>
      <w:r w:rsidRPr="00F24AE3">
        <w:t xml:space="preserve"> at </w:t>
      </w:r>
      <w:r w:rsidR="00BC57D0">
        <w:t>4:30 PM</w:t>
      </w:r>
      <w:r w:rsidRPr="00F24AE3">
        <w:t xml:space="preserve"> ET</w:t>
      </w:r>
    </w:p>
    <w:p w14:paraId="03FAAB3B" w14:textId="0BD1B014" w:rsidR="00F00A0B" w:rsidRPr="00F24AE3" w:rsidRDefault="00015A15">
      <w:pPr>
        <w:pStyle w:val="ListBullet"/>
      </w:pPr>
      <w:r w:rsidRPr="00F24AE3">
        <w:t xml:space="preserve">Shortlist Notification: </w:t>
      </w:r>
      <w:r w:rsidR="00D63FE0">
        <w:t>February 9, 2026</w:t>
      </w:r>
    </w:p>
    <w:p w14:paraId="4287A56A" w14:textId="076EB85B" w:rsidR="00F00A0B" w:rsidRPr="00F24AE3" w:rsidRDefault="00015A15">
      <w:pPr>
        <w:pStyle w:val="ListBullet"/>
      </w:pPr>
      <w:r w:rsidRPr="00F24AE3">
        <w:t xml:space="preserve">Oral Presentations/Interviews (if held): </w:t>
      </w:r>
      <w:r w:rsidR="00D63FE0">
        <w:t>March 9, 2026</w:t>
      </w:r>
    </w:p>
    <w:p w14:paraId="68E1A913" w14:textId="14CCFE8B" w:rsidR="00F00A0B" w:rsidRPr="00D63FE0" w:rsidRDefault="00015A15">
      <w:pPr>
        <w:pStyle w:val="ListBullet"/>
      </w:pPr>
      <w:r w:rsidRPr="00D63FE0">
        <w:lastRenderedPageBreak/>
        <w:t xml:space="preserve">Notice of Intent to Award: </w:t>
      </w:r>
      <w:r w:rsidR="00AB103F">
        <w:t>March 9, 2026</w:t>
      </w:r>
    </w:p>
    <w:p w14:paraId="34202860" w14:textId="42E5549A" w:rsidR="00F00A0B" w:rsidRPr="00D63FE0" w:rsidRDefault="00015A15">
      <w:pPr>
        <w:pStyle w:val="ListBullet"/>
      </w:pPr>
      <w:r w:rsidRPr="00D63FE0">
        <w:t xml:space="preserve">Board Approval/Contract Execution: </w:t>
      </w:r>
      <w:r w:rsidR="00AB103F">
        <w:t>March 9, 2026</w:t>
      </w:r>
    </w:p>
    <w:p w14:paraId="50B9C8FC" w14:textId="77777777" w:rsidR="00F00A0B" w:rsidRPr="00D63FE0" w:rsidRDefault="00015A15">
      <w:pPr>
        <w:pStyle w:val="ListBullet"/>
      </w:pPr>
      <w:r w:rsidRPr="00D63FE0">
        <w:t>Anticipated Project Start: [Insert Date]</w:t>
      </w:r>
    </w:p>
    <w:p w14:paraId="02604AC9" w14:textId="77777777" w:rsidR="00F00A0B" w:rsidRDefault="00015A15">
      <w:r>
        <w:t>Proposals received after the Proposal Due Date will not be considered.</w:t>
      </w:r>
    </w:p>
    <w:p w14:paraId="4321AF53" w14:textId="77777777" w:rsidR="00F00A0B" w:rsidRDefault="00015A15">
      <w:pPr>
        <w:pStyle w:val="Heading3"/>
      </w:pPr>
      <w:r>
        <w:t>6. Submission Instructions</w:t>
      </w:r>
    </w:p>
    <w:p w14:paraId="7E4FE6BB" w14:textId="7BA53A6C" w:rsidR="00F00A0B" w:rsidRDefault="00015A15">
      <w:r>
        <w:t xml:space="preserve">6.1 Format and Delivery. Submit one (1) original, </w:t>
      </w:r>
      <w:r w:rsidR="00611127">
        <w:t xml:space="preserve">8 </w:t>
      </w:r>
      <w:r>
        <w:t>copies, and one (1) electronic copy on a USB drive in searchable PDF format. All submissions must be sealed, clearly marked with “RFP No.</w:t>
      </w:r>
      <w:r w:rsidR="00EF3D36">
        <w:t xml:space="preserve"> 2025-01</w:t>
      </w:r>
      <w:r>
        <w:t xml:space="preserve"> – Executive Search Services” and delivered to:</w:t>
      </w:r>
    </w:p>
    <w:p w14:paraId="1D0AFC5F" w14:textId="1263E955" w:rsidR="00EF3D36" w:rsidRPr="00EF3D36" w:rsidRDefault="00EF3D36" w:rsidP="00EF3D36">
      <w:pPr>
        <w:spacing w:after="0"/>
        <w:jc w:val="center"/>
      </w:pPr>
      <w:r w:rsidRPr="00EF3D36">
        <w:t>Linda M. Santiago</w:t>
      </w:r>
    </w:p>
    <w:p w14:paraId="02D85EFC" w14:textId="23CF35B6" w:rsidR="00EF3D36" w:rsidRDefault="00015A15" w:rsidP="00EF3D36">
      <w:pPr>
        <w:spacing w:after="0"/>
        <w:jc w:val="center"/>
      </w:pPr>
      <w:r w:rsidRPr="00EF3D36">
        <w:t>Procurement Office</w:t>
      </w:r>
      <w:r w:rsidRPr="00EF3D36">
        <w:br/>
      </w:r>
      <w:r w:rsidR="00C47D36" w:rsidRPr="00EF3D36">
        <w:t>St. Johns County Airport Authority</w:t>
      </w:r>
      <w:r w:rsidRPr="00EF3D36">
        <w:br/>
      </w:r>
      <w:r w:rsidR="003174AA">
        <w:t>4796 US Hwy. 1 No.</w:t>
      </w:r>
    </w:p>
    <w:p w14:paraId="5A539422" w14:textId="2E7A9BDF" w:rsidR="00F00A0B" w:rsidRDefault="00015A15" w:rsidP="00EF3D36">
      <w:pPr>
        <w:spacing w:after="0"/>
        <w:jc w:val="center"/>
      </w:pPr>
      <w:r w:rsidRPr="00EF3D36">
        <w:t xml:space="preserve">St. Augustine, FL </w:t>
      </w:r>
      <w:r w:rsidR="003174AA">
        <w:t>32095</w:t>
      </w:r>
    </w:p>
    <w:p w14:paraId="44387830" w14:textId="77777777" w:rsidR="00EF3D36" w:rsidRDefault="00EF3D36" w:rsidP="00EF3D36">
      <w:pPr>
        <w:spacing w:after="0"/>
        <w:jc w:val="center"/>
      </w:pPr>
    </w:p>
    <w:p w14:paraId="5366D476" w14:textId="77777777" w:rsidR="00F00A0B" w:rsidRDefault="00015A15">
      <w:r>
        <w:t>6.2 Proposal Content. Proposals must include, at a minimum, the following, and must comply with the twelve (12) page, one-sided limit stated in Section 15 (excluding required attachments and forms):</w:t>
      </w:r>
    </w:p>
    <w:p w14:paraId="2AF1933A" w14:textId="77777777" w:rsidR="00F00A0B" w:rsidRDefault="00015A15">
      <w:pPr>
        <w:pStyle w:val="ListBullet"/>
      </w:pPr>
      <w:r>
        <w:t>Cover Letter. Signed by an authorized representative, committing to the proposal for 180 days from the due date.</w:t>
      </w:r>
    </w:p>
    <w:p w14:paraId="10A9E22D" w14:textId="77777777" w:rsidR="00F00A0B" w:rsidRDefault="00015A15">
      <w:pPr>
        <w:pStyle w:val="ListBullet"/>
      </w:pPr>
      <w:r>
        <w:t>Firm Profile. Legal name, headquarters, local office (if any), ownership, length of operation, areas of specialization, and Florida business registration status.</w:t>
      </w:r>
    </w:p>
    <w:p w14:paraId="6056A479" w14:textId="77777777" w:rsidR="00F00A0B" w:rsidRDefault="00015A15">
      <w:pPr>
        <w:pStyle w:val="ListBullet"/>
      </w:pPr>
      <w:r>
        <w:t>Team Qualifications. Resumes/CVs of the lead consultant(s) and key team members, office locations, roles, availability, and percentage of time dedicated to the project.</w:t>
      </w:r>
    </w:p>
    <w:p w14:paraId="76F0A4C6" w14:textId="77777777" w:rsidR="00F00A0B" w:rsidRDefault="00015A15">
      <w:pPr>
        <w:pStyle w:val="ListBullet"/>
      </w:pPr>
      <w:r>
        <w:t>Relevant Experience. Descriptions of at least five relevant executive searches completed in the last five years, including client, role, scope, timeline, and outcome; indicate public sector/airport experience and diversity outcomes.</w:t>
      </w:r>
    </w:p>
    <w:p w14:paraId="08EE3293" w14:textId="77777777" w:rsidR="00F00A0B" w:rsidRDefault="00015A15">
      <w:pPr>
        <w:pStyle w:val="ListBullet"/>
      </w:pPr>
      <w:r>
        <w:t>Approach and Work Plan. Detailed methodology, stakeholder engagement plan, diversity outreach plan, candidate evaluation tools, and project management approach.</w:t>
      </w:r>
    </w:p>
    <w:p w14:paraId="3516E195" w14:textId="77777777" w:rsidR="00F00A0B" w:rsidRDefault="00015A15">
      <w:pPr>
        <w:pStyle w:val="ListBullet"/>
      </w:pPr>
      <w:r>
        <w:t>Timeline. Proposed schedule with milestones from kickoff to appointment.</w:t>
      </w:r>
    </w:p>
    <w:p w14:paraId="49D8E31A" w14:textId="77777777" w:rsidR="00F00A0B" w:rsidRDefault="00015A15">
      <w:pPr>
        <w:pStyle w:val="ListBullet"/>
      </w:pPr>
      <w:r>
        <w:t>References. At least three client references for comparable searches, with contact information.</w:t>
      </w:r>
    </w:p>
    <w:p w14:paraId="208D2B59" w14:textId="77777777" w:rsidR="00F00A0B" w:rsidRDefault="00015A15">
      <w:pPr>
        <w:pStyle w:val="ListBullet"/>
      </w:pPr>
      <w:r>
        <w:t>Legal/Compliance Forms. Completed and executed forms required by this RFP (see Section 14 and Attachments).</w:t>
      </w:r>
    </w:p>
    <w:p w14:paraId="62C4B312" w14:textId="77777777" w:rsidR="00F00A0B" w:rsidRDefault="00015A15">
      <w:pPr>
        <w:pStyle w:val="ListBullet"/>
      </w:pPr>
      <w:r>
        <w:t>Cost Proposal. Fully burdened, not-to-exceed fee structure, including professional fees, travel, advertising, background checks, and any other reimbursables; identify fixed vs. variable costs; state any guarantee or discount terms.</w:t>
      </w:r>
    </w:p>
    <w:p w14:paraId="2F16AD28" w14:textId="77777777" w:rsidR="00F00A0B" w:rsidRDefault="00015A15">
      <w:r>
        <w:t xml:space="preserve">6.3 Questions and Communications. All questions must be submitted in writing to the Procurement Contact below by the Deadline for Questions. No oral interpretations shall be binding. The Authority may issue written addenda with responses that will be binding and made publicly available. From the date of this RFP until award, Respondents and their representatives shall not contact Authority Board members or staff, other than the Procurement Contact, regarding this </w:t>
      </w:r>
      <w:r>
        <w:lastRenderedPageBreak/>
        <w:t>solicitation, except as expressly permitted for public meetings. The Authority may disqualify Respondents for violations of this communication restriction.</w:t>
      </w:r>
    </w:p>
    <w:p w14:paraId="19620270" w14:textId="60043ACF" w:rsidR="00840C9C" w:rsidRPr="00840C9C" w:rsidRDefault="00015A15" w:rsidP="00840C9C">
      <w:pPr>
        <w:spacing w:after="0"/>
        <w:jc w:val="center"/>
      </w:pPr>
      <w:r w:rsidRPr="00840C9C">
        <w:t>Procurement Contact:</w:t>
      </w:r>
      <w:r w:rsidRPr="00840C9C">
        <w:br/>
        <w:t>Name:</w:t>
      </w:r>
      <w:r w:rsidR="00840C9C" w:rsidRPr="00840C9C">
        <w:t xml:space="preserve"> Linda M. Santiago</w:t>
      </w:r>
    </w:p>
    <w:p w14:paraId="13FD956D" w14:textId="6012A9AA" w:rsidR="00F00A0B" w:rsidRPr="00840C9C" w:rsidRDefault="00015A15" w:rsidP="00840C9C">
      <w:pPr>
        <w:spacing w:after="0"/>
        <w:jc w:val="center"/>
        <w:rPr>
          <w:lang w:val="fr-FR"/>
        </w:rPr>
      </w:pPr>
      <w:proofErr w:type="gramStart"/>
      <w:r w:rsidRPr="00840C9C">
        <w:rPr>
          <w:lang w:val="fr-FR"/>
        </w:rPr>
        <w:t>Email:</w:t>
      </w:r>
      <w:proofErr w:type="gramEnd"/>
      <w:r w:rsidRPr="00840C9C">
        <w:rPr>
          <w:lang w:val="fr-FR"/>
        </w:rPr>
        <w:t xml:space="preserve"> </w:t>
      </w:r>
      <w:r w:rsidR="00840C9C" w:rsidRPr="00840C9C">
        <w:rPr>
          <w:lang w:val="fr-FR"/>
        </w:rPr>
        <w:t>lms@sgj-airport.com</w:t>
      </w:r>
      <w:r w:rsidRPr="00840C9C">
        <w:rPr>
          <w:lang w:val="fr-FR"/>
        </w:rPr>
        <w:br/>
      </w:r>
      <w:proofErr w:type="gramStart"/>
      <w:r w:rsidRPr="00840C9C">
        <w:rPr>
          <w:lang w:val="fr-FR"/>
        </w:rPr>
        <w:t>Phone:</w:t>
      </w:r>
      <w:proofErr w:type="gramEnd"/>
      <w:r w:rsidRPr="00840C9C">
        <w:rPr>
          <w:lang w:val="fr-FR"/>
        </w:rPr>
        <w:t xml:space="preserve"> </w:t>
      </w:r>
      <w:r w:rsidR="00840C9C" w:rsidRPr="00840C9C">
        <w:rPr>
          <w:lang w:val="fr-FR"/>
        </w:rPr>
        <w:t>904-209-0090</w:t>
      </w:r>
    </w:p>
    <w:p w14:paraId="025A2B6D" w14:textId="77777777" w:rsidR="00F00A0B" w:rsidRDefault="00015A15">
      <w:pPr>
        <w:pStyle w:val="Heading3"/>
      </w:pPr>
      <w:r>
        <w:t>7. Evaluation and Award</w:t>
      </w:r>
    </w:p>
    <w:p w14:paraId="5840AA3F" w14:textId="77777777" w:rsidR="00F00A0B" w:rsidRDefault="00015A15">
      <w:r>
        <w:t>7.1 Evaluation Criteria. Proposals will be evaluated based on the criteria below. The Authority may shortlist Respondents, conduct interviews, and request additional information.</w:t>
      </w:r>
    </w:p>
    <w:p w14:paraId="43D00ED3" w14:textId="77777777" w:rsidR="00F00A0B" w:rsidRDefault="00015A15">
      <w:pPr>
        <w:pStyle w:val="ListBullet"/>
      </w:pPr>
      <w:r>
        <w:t>Qualifications and Experience of Firm and Team</w:t>
      </w:r>
    </w:p>
    <w:p w14:paraId="1FD5A0A0" w14:textId="77777777" w:rsidR="00F00A0B" w:rsidRDefault="00015A15">
      <w:pPr>
        <w:pStyle w:val="ListBullet"/>
      </w:pPr>
      <w:r>
        <w:t>Understanding of the Authority’s Needs and Quality of Approach/Work Plan</w:t>
      </w:r>
    </w:p>
    <w:p w14:paraId="617FEA26" w14:textId="77777777" w:rsidR="00F00A0B" w:rsidRDefault="00015A15">
      <w:pPr>
        <w:pStyle w:val="ListBullet"/>
      </w:pPr>
      <w:r>
        <w:t>Demonstrated Success in Comparable Executive Searches</w:t>
      </w:r>
    </w:p>
    <w:p w14:paraId="03468D59" w14:textId="77777777" w:rsidR="00F00A0B" w:rsidRDefault="00015A15">
      <w:pPr>
        <w:pStyle w:val="ListBullet"/>
      </w:pPr>
      <w:r>
        <w:t>Stakeholder Engagement and Diversity Outreach Strategy</w:t>
      </w:r>
    </w:p>
    <w:p w14:paraId="44A94521" w14:textId="77777777" w:rsidR="00F00A0B" w:rsidRDefault="00015A15">
      <w:pPr>
        <w:pStyle w:val="ListBullet"/>
      </w:pPr>
      <w:r>
        <w:t>Proposed Timeline and Capacity</w:t>
      </w:r>
    </w:p>
    <w:p w14:paraId="2CCDECDE" w14:textId="77777777" w:rsidR="00F00A0B" w:rsidRDefault="00015A15">
      <w:pPr>
        <w:pStyle w:val="ListBullet"/>
      </w:pPr>
      <w:r>
        <w:t>Cost Proposal and Overall Value</w:t>
      </w:r>
    </w:p>
    <w:p w14:paraId="7304BE03" w14:textId="77777777" w:rsidR="00F00A0B" w:rsidRDefault="00015A15">
      <w:pPr>
        <w:pStyle w:val="ListBullet"/>
      </w:pPr>
      <w:r>
        <w:t>References and Past Performance</w:t>
      </w:r>
    </w:p>
    <w:p w14:paraId="17FA703B" w14:textId="77777777" w:rsidR="00F00A0B" w:rsidRDefault="00015A15">
      <w:pPr>
        <w:pStyle w:val="ListBullet"/>
      </w:pPr>
      <w:r>
        <w:t>Compliance with RFP Requirements</w:t>
      </w:r>
    </w:p>
    <w:p w14:paraId="7DB033B6" w14:textId="77777777" w:rsidR="00F00A0B" w:rsidRDefault="00015A15">
      <w:r>
        <w:t>7.2 Scoring Matrix. The Authority anticipates using the following weighting:</w:t>
      </w:r>
    </w:p>
    <w:tbl>
      <w:tblPr>
        <w:tblW w:w="0" w:type="auto"/>
        <w:tblLook w:val="04A0" w:firstRow="1" w:lastRow="0" w:firstColumn="1" w:lastColumn="0" w:noHBand="0" w:noVBand="1"/>
      </w:tblPr>
      <w:tblGrid>
        <w:gridCol w:w="4671"/>
        <w:gridCol w:w="4669"/>
      </w:tblGrid>
      <w:tr w:rsidR="00F00A0B" w14:paraId="36171681" w14:textId="77777777">
        <w:tc>
          <w:tcPr>
            <w:tcW w:w="4680" w:type="dxa"/>
            <w:tcBorders>
              <w:top w:val="single" w:sz="8" w:space="0" w:color="000000"/>
              <w:left w:val="single" w:sz="8" w:space="0" w:color="000000"/>
              <w:bottom w:val="single" w:sz="8" w:space="0" w:color="000000"/>
              <w:right w:val="single" w:sz="8" w:space="0" w:color="000000"/>
            </w:tcBorders>
            <w:shd w:val="clear" w:color="auto" w:fill="D3D3D3"/>
          </w:tcPr>
          <w:p w14:paraId="6BBCDABB" w14:textId="77777777" w:rsidR="00F00A0B" w:rsidRDefault="00015A15">
            <w:r>
              <w:rPr>
                <w:b/>
              </w:rPr>
              <w:t>Criterion</w:t>
            </w:r>
          </w:p>
        </w:tc>
        <w:tc>
          <w:tcPr>
            <w:tcW w:w="4680" w:type="dxa"/>
            <w:tcBorders>
              <w:top w:val="single" w:sz="8" w:space="0" w:color="000000"/>
              <w:left w:val="single" w:sz="8" w:space="0" w:color="000000"/>
              <w:bottom w:val="single" w:sz="8" w:space="0" w:color="000000"/>
              <w:right w:val="single" w:sz="8" w:space="0" w:color="000000"/>
            </w:tcBorders>
            <w:shd w:val="clear" w:color="auto" w:fill="D3D3D3"/>
          </w:tcPr>
          <w:p w14:paraId="47201D76" w14:textId="77777777" w:rsidR="00F00A0B" w:rsidRDefault="00015A15">
            <w:r>
              <w:rPr>
                <w:b/>
              </w:rPr>
              <w:t>Weight</w:t>
            </w:r>
          </w:p>
        </w:tc>
      </w:tr>
      <w:tr w:rsidR="00F00A0B" w14:paraId="51B9091D" w14:textId="77777777">
        <w:tc>
          <w:tcPr>
            <w:tcW w:w="4680" w:type="dxa"/>
            <w:tcBorders>
              <w:top w:val="single" w:sz="8" w:space="0" w:color="000000"/>
              <w:left w:val="single" w:sz="8" w:space="0" w:color="000000"/>
              <w:bottom w:val="single" w:sz="8" w:space="0" w:color="000000"/>
              <w:right w:val="single" w:sz="8" w:space="0" w:color="000000"/>
            </w:tcBorders>
          </w:tcPr>
          <w:p w14:paraId="2EC71626" w14:textId="77777777" w:rsidR="00F00A0B" w:rsidRDefault="00015A15">
            <w:pPr>
              <w:jc w:val="center"/>
            </w:pPr>
            <w:r>
              <w:t>Firm/Team Qualifications</w:t>
            </w:r>
          </w:p>
        </w:tc>
        <w:tc>
          <w:tcPr>
            <w:tcW w:w="4680" w:type="dxa"/>
            <w:tcBorders>
              <w:top w:val="single" w:sz="8" w:space="0" w:color="000000"/>
              <w:left w:val="single" w:sz="8" w:space="0" w:color="000000"/>
              <w:bottom w:val="single" w:sz="8" w:space="0" w:color="000000"/>
              <w:right w:val="single" w:sz="8" w:space="0" w:color="000000"/>
            </w:tcBorders>
          </w:tcPr>
          <w:p w14:paraId="26A98DFE" w14:textId="77777777" w:rsidR="00F00A0B" w:rsidRDefault="00015A15">
            <w:pPr>
              <w:jc w:val="center"/>
            </w:pPr>
            <w:r>
              <w:t>20%</w:t>
            </w:r>
          </w:p>
        </w:tc>
      </w:tr>
      <w:tr w:rsidR="00F00A0B" w14:paraId="66AFDCCE" w14:textId="77777777">
        <w:tc>
          <w:tcPr>
            <w:tcW w:w="4680" w:type="dxa"/>
            <w:tcBorders>
              <w:top w:val="single" w:sz="8" w:space="0" w:color="000000"/>
              <w:left w:val="single" w:sz="8" w:space="0" w:color="000000"/>
              <w:bottom w:val="single" w:sz="8" w:space="0" w:color="000000"/>
              <w:right w:val="single" w:sz="8" w:space="0" w:color="000000"/>
            </w:tcBorders>
          </w:tcPr>
          <w:p w14:paraId="429F6E15" w14:textId="77777777" w:rsidR="00F00A0B" w:rsidRDefault="00015A15">
            <w:pPr>
              <w:jc w:val="center"/>
            </w:pPr>
            <w:r>
              <w:t>Approach and Work Plan</w:t>
            </w:r>
          </w:p>
        </w:tc>
        <w:tc>
          <w:tcPr>
            <w:tcW w:w="4680" w:type="dxa"/>
            <w:tcBorders>
              <w:top w:val="single" w:sz="8" w:space="0" w:color="000000"/>
              <w:left w:val="single" w:sz="8" w:space="0" w:color="000000"/>
              <w:bottom w:val="single" w:sz="8" w:space="0" w:color="000000"/>
              <w:right w:val="single" w:sz="8" w:space="0" w:color="000000"/>
            </w:tcBorders>
          </w:tcPr>
          <w:p w14:paraId="794EFF94" w14:textId="77777777" w:rsidR="00F00A0B" w:rsidRDefault="00015A15">
            <w:pPr>
              <w:jc w:val="center"/>
            </w:pPr>
            <w:r>
              <w:t>25%</w:t>
            </w:r>
          </w:p>
        </w:tc>
      </w:tr>
      <w:tr w:rsidR="00F00A0B" w14:paraId="06A5FA60" w14:textId="77777777">
        <w:tc>
          <w:tcPr>
            <w:tcW w:w="4680" w:type="dxa"/>
            <w:tcBorders>
              <w:top w:val="single" w:sz="8" w:space="0" w:color="000000"/>
              <w:left w:val="single" w:sz="8" w:space="0" w:color="000000"/>
              <w:bottom w:val="single" w:sz="8" w:space="0" w:color="000000"/>
              <w:right w:val="single" w:sz="8" w:space="0" w:color="000000"/>
            </w:tcBorders>
          </w:tcPr>
          <w:p w14:paraId="03B6B769" w14:textId="77777777" w:rsidR="00F00A0B" w:rsidRDefault="00015A15">
            <w:pPr>
              <w:jc w:val="center"/>
            </w:pPr>
            <w:r>
              <w:t>Relevant Experience and Performance</w:t>
            </w:r>
          </w:p>
        </w:tc>
        <w:tc>
          <w:tcPr>
            <w:tcW w:w="4680" w:type="dxa"/>
            <w:tcBorders>
              <w:top w:val="single" w:sz="8" w:space="0" w:color="000000"/>
              <w:left w:val="single" w:sz="8" w:space="0" w:color="000000"/>
              <w:bottom w:val="single" w:sz="8" w:space="0" w:color="000000"/>
              <w:right w:val="single" w:sz="8" w:space="0" w:color="000000"/>
            </w:tcBorders>
          </w:tcPr>
          <w:p w14:paraId="13A6F231" w14:textId="77777777" w:rsidR="00F00A0B" w:rsidRDefault="00015A15">
            <w:pPr>
              <w:jc w:val="center"/>
            </w:pPr>
            <w:r>
              <w:t>20%</w:t>
            </w:r>
          </w:p>
        </w:tc>
      </w:tr>
      <w:tr w:rsidR="00F00A0B" w14:paraId="7CD4CBC6" w14:textId="77777777">
        <w:tc>
          <w:tcPr>
            <w:tcW w:w="4680" w:type="dxa"/>
            <w:tcBorders>
              <w:top w:val="single" w:sz="8" w:space="0" w:color="000000"/>
              <w:left w:val="single" w:sz="8" w:space="0" w:color="000000"/>
              <w:bottom w:val="single" w:sz="8" w:space="0" w:color="000000"/>
              <w:right w:val="single" w:sz="8" w:space="0" w:color="000000"/>
            </w:tcBorders>
          </w:tcPr>
          <w:p w14:paraId="2882EDAC" w14:textId="77777777" w:rsidR="00F00A0B" w:rsidRDefault="00015A15">
            <w:pPr>
              <w:jc w:val="center"/>
            </w:pPr>
            <w:r>
              <w:t>Diversity Outreach and Stakeholder Engagement</w:t>
            </w:r>
          </w:p>
        </w:tc>
        <w:tc>
          <w:tcPr>
            <w:tcW w:w="4680" w:type="dxa"/>
            <w:tcBorders>
              <w:top w:val="single" w:sz="8" w:space="0" w:color="000000"/>
              <w:left w:val="single" w:sz="8" w:space="0" w:color="000000"/>
              <w:bottom w:val="single" w:sz="8" w:space="0" w:color="000000"/>
              <w:right w:val="single" w:sz="8" w:space="0" w:color="000000"/>
            </w:tcBorders>
          </w:tcPr>
          <w:p w14:paraId="41E4AD2F" w14:textId="77777777" w:rsidR="00F00A0B" w:rsidRDefault="00015A15">
            <w:pPr>
              <w:jc w:val="center"/>
            </w:pPr>
            <w:r>
              <w:t>10%</w:t>
            </w:r>
          </w:p>
        </w:tc>
      </w:tr>
      <w:tr w:rsidR="00F00A0B" w14:paraId="5CBA968D" w14:textId="77777777">
        <w:tc>
          <w:tcPr>
            <w:tcW w:w="4680" w:type="dxa"/>
            <w:tcBorders>
              <w:top w:val="single" w:sz="8" w:space="0" w:color="000000"/>
              <w:left w:val="single" w:sz="8" w:space="0" w:color="000000"/>
              <w:bottom w:val="single" w:sz="8" w:space="0" w:color="000000"/>
              <w:right w:val="single" w:sz="8" w:space="0" w:color="000000"/>
            </w:tcBorders>
          </w:tcPr>
          <w:p w14:paraId="0A9A53C2" w14:textId="77777777" w:rsidR="00F00A0B" w:rsidRDefault="00015A15">
            <w:pPr>
              <w:jc w:val="center"/>
            </w:pPr>
            <w:r>
              <w:t>Timeline and Capacity</w:t>
            </w:r>
          </w:p>
        </w:tc>
        <w:tc>
          <w:tcPr>
            <w:tcW w:w="4680" w:type="dxa"/>
            <w:tcBorders>
              <w:top w:val="single" w:sz="8" w:space="0" w:color="000000"/>
              <w:left w:val="single" w:sz="8" w:space="0" w:color="000000"/>
              <w:bottom w:val="single" w:sz="8" w:space="0" w:color="000000"/>
              <w:right w:val="single" w:sz="8" w:space="0" w:color="000000"/>
            </w:tcBorders>
          </w:tcPr>
          <w:p w14:paraId="5D8BF172" w14:textId="77777777" w:rsidR="00F00A0B" w:rsidRDefault="00015A15">
            <w:pPr>
              <w:jc w:val="center"/>
            </w:pPr>
            <w:r>
              <w:t>10%</w:t>
            </w:r>
          </w:p>
        </w:tc>
      </w:tr>
      <w:tr w:rsidR="00F00A0B" w14:paraId="5219680A" w14:textId="77777777">
        <w:tc>
          <w:tcPr>
            <w:tcW w:w="4680" w:type="dxa"/>
            <w:tcBorders>
              <w:top w:val="single" w:sz="8" w:space="0" w:color="000000"/>
              <w:left w:val="single" w:sz="8" w:space="0" w:color="000000"/>
              <w:bottom w:val="single" w:sz="8" w:space="0" w:color="000000"/>
              <w:right w:val="single" w:sz="8" w:space="0" w:color="000000"/>
            </w:tcBorders>
          </w:tcPr>
          <w:p w14:paraId="7D2E8DE3" w14:textId="77777777" w:rsidR="00F00A0B" w:rsidRDefault="00015A15">
            <w:pPr>
              <w:jc w:val="center"/>
            </w:pPr>
            <w:r>
              <w:t>Cost Proposal</w:t>
            </w:r>
          </w:p>
        </w:tc>
        <w:tc>
          <w:tcPr>
            <w:tcW w:w="4680" w:type="dxa"/>
            <w:tcBorders>
              <w:top w:val="single" w:sz="8" w:space="0" w:color="000000"/>
              <w:left w:val="single" w:sz="8" w:space="0" w:color="000000"/>
              <w:bottom w:val="single" w:sz="8" w:space="0" w:color="000000"/>
              <w:right w:val="single" w:sz="8" w:space="0" w:color="000000"/>
            </w:tcBorders>
          </w:tcPr>
          <w:p w14:paraId="7E064887" w14:textId="77777777" w:rsidR="00F00A0B" w:rsidRDefault="00015A15">
            <w:pPr>
              <w:jc w:val="center"/>
            </w:pPr>
            <w:r>
              <w:t>10%</w:t>
            </w:r>
          </w:p>
        </w:tc>
      </w:tr>
      <w:tr w:rsidR="00F00A0B" w14:paraId="487CDAB3" w14:textId="77777777">
        <w:tc>
          <w:tcPr>
            <w:tcW w:w="4680" w:type="dxa"/>
            <w:tcBorders>
              <w:top w:val="single" w:sz="8" w:space="0" w:color="000000"/>
              <w:left w:val="single" w:sz="8" w:space="0" w:color="000000"/>
              <w:bottom w:val="single" w:sz="8" w:space="0" w:color="000000"/>
              <w:right w:val="single" w:sz="8" w:space="0" w:color="000000"/>
            </w:tcBorders>
          </w:tcPr>
          <w:p w14:paraId="33B9315C" w14:textId="77777777" w:rsidR="00F00A0B" w:rsidRDefault="00015A15">
            <w:pPr>
              <w:jc w:val="center"/>
            </w:pPr>
            <w:r>
              <w:t>References</w:t>
            </w:r>
          </w:p>
        </w:tc>
        <w:tc>
          <w:tcPr>
            <w:tcW w:w="4680" w:type="dxa"/>
            <w:tcBorders>
              <w:top w:val="single" w:sz="8" w:space="0" w:color="000000"/>
              <w:left w:val="single" w:sz="8" w:space="0" w:color="000000"/>
              <w:bottom w:val="single" w:sz="8" w:space="0" w:color="000000"/>
              <w:right w:val="single" w:sz="8" w:space="0" w:color="000000"/>
            </w:tcBorders>
          </w:tcPr>
          <w:p w14:paraId="62A75536" w14:textId="77777777" w:rsidR="00F00A0B" w:rsidRDefault="00015A15">
            <w:pPr>
              <w:jc w:val="center"/>
            </w:pPr>
            <w:r>
              <w:t>5%</w:t>
            </w:r>
          </w:p>
        </w:tc>
      </w:tr>
    </w:tbl>
    <w:p w14:paraId="78DED5F2" w14:textId="77777777" w:rsidR="00F00A0B" w:rsidRDefault="00F00A0B"/>
    <w:p w14:paraId="17C2ABB6" w14:textId="77777777" w:rsidR="00F00A0B" w:rsidRDefault="00015A15">
      <w:r>
        <w:t>7.3 Competitive Range, Presentations, and Negotiations. The Authority may establish a competitive range, invite oral presentations, and enter into negotiations with the highest ranked Respondent(s). The Authority reserves the right to award without discussions or to reject any or all proposals.</w:t>
      </w:r>
    </w:p>
    <w:p w14:paraId="22423644" w14:textId="77777777" w:rsidR="00F00A0B" w:rsidRDefault="00015A15">
      <w:r>
        <w:t>7.4 Best Value Determination. Award will be made to the Respondent whose proposal is most advantageous to the Authority, considering price and other evaluation factors set forth in this RFP.</w:t>
      </w:r>
    </w:p>
    <w:p w14:paraId="61289DAD" w14:textId="77777777" w:rsidR="00F00A0B" w:rsidRDefault="00015A15">
      <w:pPr>
        <w:pStyle w:val="Heading3"/>
      </w:pPr>
      <w:r>
        <w:lastRenderedPageBreak/>
        <w:t>8. Term of Contract</w:t>
      </w:r>
    </w:p>
    <w:p w14:paraId="6E35E0EB" w14:textId="77777777" w:rsidR="00F00A0B" w:rsidRDefault="00015A15">
      <w:r>
        <w:t>The initial term will commence upon execution and continue through completion of the search and guaranteed placement period. The Authority may include options for extended services for replacement searches or related advisory support.</w:t>
      </w:r>
    </w:p>
    <w:p w14:paraId="240286DE" w14:textId="77777777" w:rsidR="00F00A0B" w:rsidRDefault="00015A15">
      <w:pPr>
        <w:pStyle w:val="Heading3"/>
      </w:pPr>
      <w:r>
        <w:t>9. Compensation</w:t>
      </w:r>
    </w:p>
    <w:p w14:paraId="0FFCB0EB" w14:textId="77777777" w:rsidR="00F00A0B" w:rsidRDefault="00015A15">
      <w:r>
        <w:t>Respondents shall provide a fixed-fee or capped not-to-exceed pricing model, inclusive of all costs, with itemization of any reimbursable expenses. Travel and other expenses must comply with Florida requirements for public sector reimbursement, if applicable, and must be preapproved by the Authority.</w:t>
      </w:r>
    </w:p>
    <w:p w14:paraId="6C1BD8AC" w14:textId="77777777" w:rsidR="00F00A0B" w:rsidRDefault="00015A15">
      <w:pPr>
        <w:pStyle w:val="Heading3"/>
      </w:pPr>
      <w:r>
        <w:t>10. Public Records and Florida Open Government</w:t>
      </w:r>
    </w:p>
    <w:p w14:paraId="03542C42" w14:textId="77777777" w:rsidR="00F00A0B" w:rsidRDefault="00015A15">
      <w:r>
        <w:t>10.1 Public Records. All materials submitted in response to this RFP are subject to Chapter 119, Florida Statutes, the Florida Public Records Act. If a Respondent believes that any portion of its submission contains trade secrets or otherwise exempt information, it must clearly identify and segregate such portions at the time of submission and provide a redacted version suitable for public disclosure, along with a detailed legal basis for the exemption. The Authority will comply with Florida law in responding to public records requests and assumes no responsibility for protection of materials not clearly designated as confidential or exempt. Designation of materials as confidential does not guarantee that such material will be exempt from disclosure.</w:t>
      </w:r>
    </w:p>
    <w:p w14:paraId="4F32977F" w14:textId="77777777" w:rsidR="00F00A0B" w:rsidRDefault="00015A15">
      <w:r>
        <w:t>10.2 Sunshine Law and Meetings. Deliberations and actions of the Authority may be conducted at publicly noticed meetings in compliance with Florida’s open meetings requirements. Respondents should structure their proposals and presentations accordingly.</w:t>
      </w:r>
    </w:p>
    <w:p w14:paraId="62EAD3D4" w14:textId="77777777" w:rsidR="00F00A0B" w:rsidRDefault="00015A15">
      <w:pPr>
        <w:pStyle w:val="Heading3"/>
      </w:pPr>
      <w:r>
        <w:t>11. General Conditions</w:t>
      </w:r>
    </w:p>
    <w:p w14:paraId="65CD640C" w14:textId="77777777" w:rsidR="00F00A0B" w:rsidRDefault="00015A15">
      <w:r>
        <w:t>11.1 Addenda. The Authority may issue addenda to modify this RFP. Respondents are responsible for obtaining and acknowledging all addenda in their proposals.</w:t>
      </w:r>
    </w:p>
    <w:p w14:paraId="1384201D" w14:textId="77777777" w:rsidR="00F00A0B" w:rsidRDefault="00015A15">
      <w:r>
        <w:t>11.2 Reservation of Rights. The Authority reserves the right to waive minor irregularities, request clarifications, reject any or all proposals, cancel or reissue this RFP, and award in whole or in part in the best interest of the Authority.</w:t>
      </w:r>
    </w:p>
    <w:p w14:paraId="4ED0C6C2" w14:textId="77777777" w:rsidR="00F00A0B" w:rsidRDefault="00015A15">
      <w:r>
        <w:t>11.3 Costs of Proposal. All costs associated with proposal preparation and participation in this process are the sole responsibility of the Respondent.</w:t>
      </w:r>
    </w:p>
    <w:p w14:paraId="3A65F298" w14:textId="77777777" w:rsidR="00F00A0B" w:rsidRDefault="00015A15">
      <w:r>
        <w:t>11.4 Contract Form. The selected Respondent will be required to execute the Authority’s standard professional services agreement, substantially in the form attached as Attachment A, subject to negotiation of project-specific terms consistent with this RFP. The Authority, in its sole discretion, may incorporate into the final contract any provisions and certifications contained in Attachments K and L (Federal Contract Provisions and Certifications; Additional Federal Certifications) to the extent deemed necessary or appropriate by the Authority.</w:t>
      </w:r>
    </w:p>
    <w:p w14:paraId="74187D31" w14:textId="77777777" w:rsidR="00F00A0B" w:rsidRDefault="00015A15">
      <w:r>
        <w:t xml:space="preserve">11.5 Insurance. The selected Respondent will maintain, at its expense, insurance in types and amounts acceptable to the Authority, which may include commercial general liability, professional liability (errors and omissions), automobile liability, and workers’ compensation/employer’s </w:t>
      </w:r>
      <w:r>
        <w:lastRenderedPageBreak/>
        <w:t>liability. Certificates of insurance naming the Authority as additional insured on required coverages must be provided prior to contract execution.</w:t>
      </w:r>
    </w:p>
    <w:p w14:paraId="6A87C80B" w14:textId="77777777" w:rsidR="00F00A0B" w:rsidRDefault="00015A15">
      <w:r>
        <w:t>11.6 Indemnification and Sovereign Immunity. The contract will include indemnification provisions to the extent permitted by Florida law. Nothing in the contract shall be construed as a waiver of the Authority’s sovereign immunity or the monetary limits set forth in Section 768.28, Florida Statutes.</w:t>
      </w:r>
    </w:p>
    <w:p w14:paraId="761248F3" w14:textId="77777777" w:rsidR="00F00A0B" w:rsidRDefault="00015A15">
      <w:r>
        <w:t>11.7 E-Verify. The selected Respondent must register with and use the E‑Verify system to verify the work authorization status of all newly hired employees performing services under the contract, as required by Florida law. Subcontractors, if any, must also comply.</w:t>
      </w:r>
    </w:p>
    <w:p w14:paraId="36859541" w14:textId="77777777" w:rsidR="00F00A0B" w:rsidRDefault="00015A15">
      <w:r>
        <w:t>11.8 Public Entity Crimes. In accordance with Florida law, a person or affiliate who has been placed on the convicted vendor list following a conviction for a public entity crime may not submit a proposal, perform work, or transact business with a public entity for a period specified by statute. Respondents must submit a completed Public Entity Crimes Statement (Attachment C).</w:t>
      </w:r>
    </w:p>
    <w:p w14:paraId="3DBBA592" w14:textId="77777777" w:rsidR="00F00A0B" w:rsidRDefault="00015A15">
      <w:r>
        <w:t>11.9 Scrutinized Companies. Respondents must certify that they are not on the Scrutinized Companies lists related to certain business operations, as defined by Florida law, and that they will not engage in prohibited activities during the term of the contract (Attachment D).</w:t>
      </w:r>
    </w:p>
    <w:p w14:paraId="62CBAC67" w14:textId="77777777" w:rsidR="00F00A0B" w:rsidRDefault="00015A15">
      <w:r>
        <w:t>11.10 Non-Discrimination and Equal Opportunity. The selected Respondent shall not discriminate on the basis of race, color, religion, sex, national origin, age, disability, marital status, sexual orientation, gender identity, or other protected status and shall comply with all applicable federal and Florida equal opportunity laws and regulations.</w:t>
      </w:r>
    </w:p>
    <w:p w14:paraId="3AA1C781" w14:textId="77777777" w:rsidR="00F00A0B" w:rsidRDefault="00015A15">
      <w:r>
        <w:t>11.11 Drug-Free Workplace. The Authority may apply the statutorily authorized preference for businesses with drug-free workplace programs in the event of tied bids, if applicable. Respondents may submit the Drug-Free Workplace Certification (Attachment E).</w:t>
      </w:r>
    </w:p>
    <w:p w14:paraId="6B6F82C4" w14:textId="77777777" w:rsidR="00F00A0B" w:rsidRDefault="00015A15">
      <w:r>
        <w:t>11.12 Ethics and Gifts. Respondents shall comply with applicable Florida ethics laws and any Authority policies related to gifts, lobbying, and conflicts of interest. No gratuities or offers of employment may be made to Authority officials or employees in connection with this solicitation.</w:t>
      </w:r>
    </w:p>
    <w:p w14:paraId="2FF8906A" w14:textId="77777777" w:rsidR="00F00A0B" w:rsidRDefault="00015A15">
      <w:r>
        <w:t>11.13 Subcontracting. Any subcontractors must be identified in the proposal and approved by the Authority. The prime Respondent remains responsible for contract performance.</w:t>
      </w:r>
    </w:p>
    <w:p w14:paraId="6DC90C0B" w14:textId="77777777" w:rsidR="00F00A0B" w:rsidRDefault="00015A15">
      <w:r>
        <w:t>11.14 Prompt Payment. Payment terms will comply with applicable Florida law regarding prompt payment by local governmental entities.</w:t>
      </w:r>
    </w:p>
    <w:p w14:paraId="54E00485" w14:textId="77777777" w:rsidR="00F00A0B" w:rsidRDefault="00015A15">
      <w:r>
        <w:t>11.15 Bid Protest. Bid protest procedures adopted by the Authority, if any, will apply to this solicitation and are incorporated by reference. A copy of such procedures will be made available upon request or included as Attachment F.</w:t>
      </w:r>
    </w:p>
    <w:p w14:paraId="311A4C57" w14:textId="77777777" w:rsidR="00F00A0B" w:rsidRDefault="00015A15">
      <w:pPr>
        <w:pStyle w:val="Heading3"/>
      </w:pPr>
      <w:r>
        <w:t>12. Proposal Validity</w:t>
      </w:r>
    </w:p>
    <w:p w14:paraId="58EF8044" w14:textId="77777777" w:rsidR="00F00A0B" w:rsidRDefault="00015A15">
      <w:r>
        <w:t>Proposals shall remain binding and valid for one hundred eighty (180) days following the Proposal Due Date.</w:t>
      </w:r>
    </w:p>
    <w:p w14:paraId="7718A8A9" w14:textId="77777777" w:rsidR="00F00A0B" w:rsidRDefault="00015A15">
      <w:pPr>
        <w:pStyle w:val="Heading3"/>
      </w:pPr>
      <w:r>
        <w:lastRenderedPageBreak/>
        <w:t>13. Confidentiality of Process</w:t>
      </w:r>
    </w:p>
    <w:p w14:paraId="080B542F" w14:textId="77777777" w:rsidR="00F00A0B" w:rsidRDefault="00015A15">
      <w:r>
        <w:t>To preserve the integrity of the selection process consistent with Florida law, Respondents must adhere to the communication restrictions set forth in Section 6.3. The Authority will conduct evaluations and deliberations consistent with applicable open meetings requirements. Candidate information gathered by the selected firm shall be managed carefully; any records held by the Authority may be subject to public disclosure.</w:t>
      </w:r>
    </w:p>
    <w:p w14:paraId="35A93B0F" w14:textId="77777777" w:rsidR="00F00A0B" w:rsidRDefault="00015A15">
      <w:pPr>
        <w:pStyle w:val="Heading3"/>
      </w:pPr>
      <w:r>
        <w:t>14. Required Forms and Attachments</w:t>
      </w:r>
    </w:p>
    <w:p w14:paraId="384B79D4" w14:textId="77777777" w:rsidR="00F00A0B" w:rsidRDefault="00015A15">
      <w:r>
        <w:t>Proposals must include the following completed and executed documents:</w:t>
      </w:r>
    </w:p>
    <w:p w14:paraId="428D8984" w14:textId="77777777" w:rsidR="00F00A0B" w:rsidRDefault="00015A15">
      <w:pPr>
        <w:pStyle w:val="ListBullet"/>
      </w:pPr>
      <w:r>
        <w:t>Attachment A: Form of Professional Services Agreement (for reference; not to be executed at proposal stage)</w:t>
      </w:r>
    </w:p>
    <w:p w14:paraId="4AE15C14" w14:textId="77777777" w:rsidR="00F00A0B" w:rsidRDefault="00015A15">
      <w:pPr>
        <w:pStyle w:val="ListBullet"/>
      </w:pPr>
      <w:r>
        <w:t>Attachment B: Proposal Acknowledgment and Addenda Receipt Form</w:t>
      </w:r>
    </w:p>
    <w:p w14:paraId="42963DE9" w14:textId="77777777" w:rsidR="00F00A0B" w:rsidRDefault="00015A15">
      <w:pPr>
        <w:pStyle w:val="ListBullet"/>
      </w:pPr>
      <w:r>
        <w:t>Attachment C: Public Entity Crimes Statement</w:t>
      </w:r>
    </w:p>
    <w:p w14:paraId="18D1FAE6" w14:textId="77777777" w:rsidR="00F00A0B" w:rsidRDefault="00015A15">
      <w:pPr>
        <w:pStyle w:val="ListBullet"/>
      </w:pPr>
      <w:r>
        <w:t>Attachment D: Scrutinized Companies Certification</w:t>
      </w:r>
    </w:p>
    <w:p w14:paraId="4A930892" w14:textId="77777777" w:rsidR="00F00A0B" w:rsidRDefault="00015A15">
      <w:pPr>
        <w:pStyle w:val="ListBullet"/>
      </w:pPr>
      <w:r>
        <w:t>Attachment E: Drug-Free Workplace Certification (optional, for preference eligibility)</w:t>
      </w:r>
    </w:p>
    <w:p w14:paraId="05BC99AA" w14:textId="77777777" w:rsidR="00F00A0B" w:rsidRDefault="00015A15">
      <w:pPr>
        <w:pStyle w:val="ListBullet"/>
      </w:pPr>
      <w:r>
        <w:t>Attachment F: Authority Bid Protest Procedures (if applicable)</w:t>
      </w:r>
    </w:p>
    <w:p w14:paraId="2F5FD352" w14:textId="77777777" w:rsidR="00F00A0B" w:rsidRDefault="00015A15">
      <w:pPr>
        <w:pStyle w:val="ListBullet"/>
      </w:pPr>
      <w:r>
        <w:t>Attachment G: E-Verify Registration and Compliance Affidavit</w:t>
      </w:r>
    </w:p>
    <w:p w14:paraId="0A3AABFC" w14:textId="77777777" w:rsidR="00F00A0B" w:rsidRDefault="00015A15">
      <w:pPr>
        <w:pStyle w:val="ListBullet"/>
      </w:pPr>
      <w:r>
        <w:t>Attachment H: Non-Collusion Affidavit and Conflict of Interest Disclosure</w:t>
      </w:r>
    </w:p>
    <w:p w14:paraId="07E4A90F" w14:textId="77777777" w:rsidR="00F00A0B" w:rsidRDefault="00015A15">
      <w:pPr>
        <w:pStyle w:val="ListBullet"/>
      </w:pPr>
      <w:r>
        <w:t>Attachment I: Insurance Certificate(s) and Accord Form (evidence of ability to meet requirements)</w:t>
      </w:r>
    </w:p>
    <w:p w14:paraId="6A365500" w14:textId="77777777" w:rsidR="00F00A0B" w:rsidRDefault="00015A15">
      <w:pPr>
        <w:pStyle w:val="ListBullet"/>
      </w:pPr>
      <w:r>
        <w:t>Attachment J: Trade Secret/Confidential Information Designation and Redaction Index</w:t>
      </w:r>
    </w:p>
    <w:p w14:paraId="4167D5D0" w14:textId="77777777" w:rsidR="00F00A0B" w:rsidRDefault="00015A15">
      <w:pPr>
        <w:pStyle w:val="ListBullet"/>
      </w:pPr>
      <w:r>
        <w:t>Attachment K: Federal Contract Provisions and Certifications (to the extent applicable)</w:t>
      </w:r>
    </w:p>
    <w:p w14:paraId="47826D38" w14:textId="77777777" w:rsidR="00F00A0B" w:rsidRDefault="00015A15">
      <w:pPr>
        <w:pStyle w:val="ListBullet"/>
      </w:pPr>
      <w:r>
        <w:t>Attachment L: Additional Federal Certifications (to the extent applicable)</w:t>
      </w:r>
    </w:p>
    <w:p w14:paraId="71A4E352" w14:textId="77777777" w:rsidR="00F00A0B" w:rsidRDefault="00015A15">
      <w:pPr>
        <w:pStyle w:val="Heading3"/>
      </w:pPr>
      <w:r>
        <w:t>15. Proposal Formatting Requirements</w:t>
      </w:r>
    </w:p>
    <w:p w14:paraId="5DB1A2CB" w14:textId="77777777" w:rsidR="00F00A0B" w:rsidRDefault="00015A15">
      <w:r>
        <w:t>Proposals should be formatted on 8.5 x 11-inch pages, using at least 11-point font and 1-inch margins, and are limited to twelve (12) pages, one-sided, excluding required attachments and forms. Each section should be clearly labeled and follow the order in Section 6.2.</w:t>
      </w:r>
    </w:p>
    <w:p w14:paraId="02BF3611" w14:textId="77777777" w:rsidR="00F00A0B" w:rsidRDefault="00015A15">
      <w:pPr>
        <w:pStyle w:val="Heading3"/>
      </w:pPr>
      <w:r>
        <w:t>16. Selection and Contracting</w:t>
      </w:r>
    </w:p>
    <w:p w14:paraId="7C89E85D" w14:textId="77777777" w:rsidR="00F00A0B" w:rsidRDefault="00015A15">
      <w:r>
        <w:t>The Authority will issue a Notice of Intent to Award to the highest ranked Respondent following completion of evaluations and any negotiations. Contract award is subject to final approval by the Authority’s Board at a publicly noticed meeting. If the Authority and the selected Respondent are unable to finalize an agreement, the Authority may terminate negotiations and proceed with the next highest ranked Respondent or take other action in the best interest of the Authority.</w:t>
      </w:r>
    </w:p>
    <w:p w14:paraId="51A42ED9" w14:textId="77777777" w:rsidR="00F00A0B" w:rsidRDefault="00015A15">
      <w:pPr>
        <w:pStyle w:val="Heading3"/>
      </w:pPr>
      <w:r>
        <w:t>17. Compliance with Law</w:t>
      </w:r>
    </w:p>
    <w:p w14:paraId="22A61D5D" w14:textId="77777777" w:rsidR="00F00A0B" w:rsidRDefault="00015A15">
      <w:r>
        <w:t>By submitting a proposal, Respondents represent that they have reviewed and will comply with all applicable federal, state, and local laws, regulations, and ordinances, including Florida procurement, ethics, public records, and open meetings requirements, as applicable to the services to be provided under the resulting contract. To the extent applicable, federal civil rights and other federally required provisions for airport programs will apply to any resulting agreement; see Attachment K (Federal Contract Provisions and Certifications).</w:t>
      </w:r>
    </w:p>
    <w:p w14:paraId="59C14D27" w14:textId="77777777" w:rsidR="00F00A0B" w:rsidRDefault="00015A15">
      <w:pPr>
        <w:pStyle w:val="Heading3"/>
      </w:pPr>
      <w:r>
        <w:lastRenderedPageBreak/>
        <w:t>18. Proposal Checklist</w:t>
      </w:r>
    </w:p>
    <w:p w14:paraId="67B9BF3C" w14:textId="77777777" w:rsidR="00F00A0B" w:rsidRDefault="00015A15">
      <w:pPr>
        <w:pStyle w:val="ListBullet"/>
      </w:pPr>
      <w:r>
        <w:t>Complete proposal package per Section 6.2</w:t>
      </w:r>
    </w:p>
    <w:p w14:paraId="5BEA5A7B" w14:textId="77777777" w:rsidR="00F00A0B" w:rsidRDefault="00015A15">
      <w:pPr>
        <w:pStyle w:val="ListBullet"/>
      </w:pPr>
      <w:r>
        <w:t>Signed Proposal Acknowledgment (Attachment B)</w:t>
      </w:r>
    </w:p>
    <w:p w14:paraId="489DF9EC" w14:textId="77777777" w:rsidR="00F00A0B" w:rsidRDefault="00015A15">
      <w:pPr>
        <w:pStyle w:val="ListBullet"/>
      </w:pPr>
      <w:r>
        <w:t>Required certifications and affidavits (Attachments C–L)</w:t>
      </w:r>
    </w:p>
    <w:p w14:paraId="6F89B962" w14:textId="77777777" w:rsidR="00F00A0B" w:rsidRDefault="00015A15">
      <w:pPr>
        <w:pStyle w:val="ListBullet"/>
      </w:pPr>
      <w:r>
        <w:t>Acknowledgment of all addenda</w:t>
      </w:r>
    </w:p>
    <w:p w14:paraId="1199DEF6" w14:textId="77777777" w:rsidR="00F00A0B" w:rsidRDefault="00015A15">
      <w:pPr>
        <w:pStyle w:val="ListBullet"/>
      </w:pPr>
      <w:r>
        <w:t>Sealed submission delivered by the Proposal Due Date</w:t>
      </w:r>
    </w:p>
    <w:p w14:paraId="570B4EAB" w14:textId="77777777" w:rsidR="00F00A0B" w:rsidRDefault="00015A15">
      <w:pPr>
        <w:pStyle w:val="Heading3"/>
      </w:pPr>
      <w:r>
        <w:t>19. Authority’s Rights and Disclaimers</w:t>
      </w:r>
    </w:p>
    <w:p w14:paraId="67D5E503" w14:textId="77777777" w:rsidR="00F00A0B" w:rsidRDefault="00015A15">
      <w:r>
        <w:t>This RFP does not commit the Authority to award a contract, pay any costs incurred in preparation of a proposal, or procure or contract for services. All awards are contingent upon the availability of funds, approval by the Authority’s Board, and successful negotiation of a mutually acceptable agreement.</w:t>
      </w:r>
    </w:p>
    <w:p w14:paraId="13BF9DB4" w14:textId="77777777" w:rsidR="00F00A0B" w:rsidRDefault="00F00A0B">
      <w:pPr>
        <w:pBdr>
          <w:bottom w:val="single" w:sz="6" w:space="1" w:color="auto"/>
        </w:pBdr>
      </w:pPr>
    </w:p>
    <w:p w14:paraId="3911AE4D" w14:textId="77777777" w:rsidR="00F00A0B" w:rsidRDefault="00015A15">
      <w:pPr>
        <w:pStyle w:val="Heading3"/>
      </w:pPr>
      <w:r>
        <w:t>Attachment A: Form of Professional Services Agreement (for reference)</w:t>
      </w:r>
    </w:p>
    <w:p w14:paraId="76588461" w14:textId="264471A9" w:rsidR="00F00A0B" w:rsidRDefault="00015A15">
      <w:r>
        <w:t xml:space="preserve">This Professional Services Agreement (this "Agreement") is entered into as of [Effective Date] by and between the </w:t>
      </w:r>
      <w:r w:rsidR="00C47D36">
        <w:t>St. Johns County Airport Authority</w:t>
      </w:r>
      <w:r>
        <w:t>, an independent special district of the State of Florida (the "Authority"), and [Contractor Legal Name], a [State of Formation and Entity Type] ("Contractor").</w:t>
      </w:r>
    </w:p>
    <w:p w14:paraId="3CDB7739" w14:textId="77777777" w:rsidR="00F00A0B" w:rsidRDefault="00015A15">
      <w:pPr>
        <w:pStyle w:val="ListNumber"/>
        <w:numPr>
          <w:ilvl w:val="0"/>
          <w:numId w:val="10"/>
        </w:numPr>
      </w:pPr>
      <w:r>
        <w:t>Engagement; Scope of Services; Performance Standards. The Authority engages Contractor to provide executive search services for the position of Executive Director (the "Services") as more particularly described in Exhibit A (Scope of Services). Contractor shall perform the Services in a timely, professional, and workmanlike manner consistent with the highest standards of the executive search industry for public-sector and aviation clients, in accordance with all applicable laws and this Agreement. Time is of the essence.</w:t>
      </w:r>
    </w:p>
    <w:p w14:paraId="4A799475" w14:textId="77777777" w:rsidR="00F00A0B" w:rsidRDefault="00015A15">
      <w:pPr>
        <w:pStyle w:val="ListNumber"/>
        <w:numPr>
          <w:ilvl w:val="0"/>
          <w:numId w:val="10"/>
        </w:numPr>
      </w:pPr>
      <w:r>
        <w:t>Term; Non-Appropriation. The term commences on the Effective Date and continues until completion of the Services and any applicable placement guarantee period, unless earlier terminated as provided herein. The parties acknowledge the Authority is a public entity subject to annual appropriation. Notwithstanding anything to the contrary, the Authority’s performance and payment obligations are contingent upon the lawful availability and appropriation of funds for this Agreement. The Authority may terminate this Agreement without penalty if funds are not appropriated.</w:t>
      </w:r>
    </w:p>
    <w:p w14:paraId="354122AC" w14:textId="77777777" w:rsidR="00F00A0B" w:rsidRDefault="00015A15">
      <w:pPr>
        <w:pStyle w:val="ListNumber"/>
        <w:numPr>
          <w:ilvl w:val="0"/>
          <w:numId w:val="10"/>
        </w:numPr>
      </w:pPr>
      <w:r>
        <w:t>Deliverables; Acceptance; Re-Performance. Contractor shall provide all deliverables identified in Exhibit A and Exhibit D (Compensation and Payment Schedule) in accordance with the agreed schedule. The Authority will have a reasonable period to review each deliverable for conformity with this Agreement. If any deliverable or Service is nonconforming or otherwise deficient, the Authority may reject it and require Contractor, at no additional cost, to promptly correct and re‑perform until accepted by the Authority.</w:t>
      </w:r>
    </w:p>
    <w:p w14:paraId="1EDBF5FB" w14:textId="77777777" w:rsidR="00F00A0B" w:rsidRDefault="00015A15">
      <w:pPr>
        <w:pStyle w:val="ListNumber"/>
        <w:numPr>
          <w:ilvl w:val="0"/>
          <w:numId w:val="10"/>
        </w:numPr>
      </w:pPr>
      <w:r>
        <w:t xml:space="preserve">Compensation; Invoicing; Withholding; Setoff. Compensation shall be on a [fixed fee/not‑to‑exceed] basis in the total amount not to exceed $[NTE Amount], inclusive of all expenses except as expressly authorized in writing. Contractor shall submit itemized invoices no more frequently than monthly, detailing tasks performed, personnel, hours, and reimbursable expenses with receipts. The Authority will make payments in accordance with </w:t>
      </w:r>
      <w:r>
        <w:lastRenderedPageBreak/>
        <w:t>Florida’s Local Government Prompt Payment Act. The Authority may withhold payment for disputed or nonconforming Services and may set off any amounts due to the Authority against sums otherwise payable to Contractor.</w:t>
      </w:r>
    </w:p>
    <w:p w14:paraId="77785B52" w14:textId="77777777" w:rsidR="00F00A0B" w:rsidRDefault="00015A15">
      <w:pPr>
        <w:pStyle w:val="ListNumber"/>
        <w:numPr>
          <w:ilvl w:val="0"/>
          <w:numId w:val="10"/>
        </w:numPr>
      </w:pPr>
      <w:r>
        <w:t>Key Personnel; Subcontractors; Change Control. Contractor shall assign the personnel identified in Exhibit B (Key Personnel) who are essential to performance. Substitution or reassignment of Key Personnel requires the Authority’s prior written approval and the proposed substitute must possess equal or superior qualifications at no additional cost. Contractor is responsible for the acts and omissions of its subcontractors and shall not subcontract any material portion of the Services without the Authority’s prior written consent. Contractor shall implement a change control process for any changes to scope, schedule, or deliverables; changes are effective only if authorized in a written amendment executed by the Authority.</w:t>
      </w:r>
    </w:p>
    <w:p w14:paraId="5F546162" w14:textId="77777777" w:rsidR="00F00A0B" w:rsidRDefault="00015A15">
      <w:pPr>
        <w:pStyle w:val="ListNumber"/>
        <w:numPr>
          <w:ilvl w:val="0"/>
          <w:numId w:val="10"/>
        </w:numPr>
      </w:pPr>
      <w:r>
        <w:t>Independent Contractor; No Exclusivity. Contractor is an independent contractor and not an employee, agent, joint venturer, or partner of the Authority. Nothing herein grants Contractor exclusivity for future work.</w:t>
      </w:r>
    </w:p>
    <w:p w14:paraId="4328CB89" w14:textId="77777777" w:rsidR="00F00A0B" w:rsidRDefault="00015A15">
      <w:pPr>
        <w:pStyle w:val="ListNumber"/>
        <w:numPr>
          <w:ilvl w:val="0"/>
          <w:numId w:val="10"/>
        </w:numPr>
      </w:pPr>
      <w:r>
        <w:t>Public Records. Contractor shall comply with Section 119.0701, Florida Statutes. IF CONTRACTOR HAS QUESTIONS REGARDING THE APPLICATION OF CHAPTER 119, FLORIDA STATUTES, TO CONTRACTOR'S DUTY TO PROVIDE PUBLIC RECORDS RELATING TO THIS CONTRACT, CONTACT THE CUSTODIAN OF PUBLIC RECORDS AT [Authority Contact Information]. Contractor must (a) keep and maintain public records required by the Authority to perform the Services; (b) provide the public with access to public records on the same terms and at a cost that does not exceed the cost provided in Chapter 119 or as otherwise provided by law; (c) ensure that public records exempt or confidential from public records disclosure requirements are not disclosed except as authorized by law; (d) meet all requirements for retaining public records and transfer, at no cost, to the Authority all public records in possession of Contractor upon termination of this Agreement and destroy any duplicate public records that are exempt or confidential. All records stored electronically must be provided to the Authority in a format that is compatible with the Authority's systems.</w:t>
      </w:r>
    </w:p>
    <w:p w14:paraId="0F1525EF" w14:textId="77777777" w:rsidR="00F00A0B" w:rsidRDefault="00015A15">
      <w:pPr>
        <w:pStyle w:val="ListNumber"/>
        <w:numPr>
          <w:ilvl w:val="0"/>
          <w:numId w:val="10"/>
        </w:numPr>
      </w:pPr>
      <w:r>
        <w:t>Confidentiality; Candidate Information; Publicity. Contractor shall keep confidential all nonpublic information of the Authority, including candidate information, and use it solely to perform the Services. Contractor shall implement reasonable administrative, technical, and physical safeguards to protect such information from unauthorized access, disclosure, or use. Contractor shall not issue press releases or public statements, use the Authority’s name or marks, or identify the Authority as a client for marketing without the Authority’s prior written consent.</w:t>
      </w:r>
    </w:p>
    <w:p w14:paraId="395CE92A" w14:textId="77777777" w:rsidR="00F00A0B" w:rsidRDefault="00015A15">
      <w:pPr>
        <w:pStyle w:val="ListNumber"/>
        <w:numPr>
          <w:ilvl w:val="0"/>
          <w:numId w:val="10"/>
        </w:numPr>
      </w:pPr>
      <w:r>
        <w:t>Data Security; Privacy; Incident Response. Because Services may involve personally identifiable information (PII) of candidates and others, Contractor shall: (a) comply with applicable privacy and data security laws; (b) maintain industry‑standard cybersecurity safeguards; (c) restrict access to least‑privilege personnel with a need to know; (d) ensure third parties used in processing such data are bound to equivalent obligations; and (e) notify the Authority within 48 hours of discovery of any actual or suspected security incident involving Authority data, cooperate in investigation and remediation, provide affected‑party notifications as required by law at Contractor’s expense, and provide credit monitoring if reasonably requested by the Authority.</w:t>
      </w:r>
    </w:p>
    <w:p w14:paraId="3C69B199" w14:textId="77777777" w:rsidR="00F00A0B" w:rsidRDefault="00015A15">
      <w:pPr>
        <w:pStyle w:val="ListNumber"/>
        <w:numPr>
          <w:ilvl w:val="0"/>
          <w:numId w:val="10"/>
        </w:numPr>
      </w:pPr>
      <w:r>
        <w:lastRenderedPageBreak/>
        <w:t>Background Checks; Due Diligence. Contractor shall ensure that personnel assigned to the engagement have undergone appropriate background checks and will comply with applicable law (including FCRA where applicable) in conducting candidate due diligence and background/credential verifications.</w:t>
      </w:r>
    </w:p>
    <w:p w14:paraId="3DCEFD0B" w14:textId="77777777" w:rsidR="00F00A0B" w:rsidRDefault="00015A15">
      <w:pPr>
        <w:pStyle w:val="ListNumber"/>
        <w:numPr>
          <w:ilvl w:val="0"/>
          <w:numId w:val="10"/>
        </w:numPr>
      </w:pPr>
      <w:r>
        <w:t>Insurance. At all times during the term, Contractor shall maintain insurance in the types and minimum amounts set forth in Exhibit C (Insurance Requirements). Insurance shall be placed with insurers authorized to do business in Florida and rated A‑/VII or better by A.M. Best (or equivalent). Required liability policies shall name the Authority as an additional insured on a primary and noncontributory basis, include a waiver of subrogation in favor of the Authority where permitted by law, and provide thirty (30) days’ prior written notice of cancellation, nonrenewal, or material change. Certificates and endorsements shall be provided prior to commencement.</w:t>
      </w:r>
    </w:p>
    <w:p w14:paraId="48CE6D41" w14:textId="77777777" w:rsidR="00F00A0B" w:rsidRDefault="00015A15">
      <w:pPr>
        <w:pStyle w:val="ListNumber"/>
        <w:numPr>
          <w:ilvl w:val="0"/>
          <w:numId w:val="10"/>
        </w:numPr>
      </w:pPr>
      <w:r>
        <w:t>Non‑Discrimination; Federal Civil Rights and Federally Required Provisions. In addition to the non‑discrimination covenant and to the extent applicable: (a) Contractor shall comply with Title VI of the Civil Rights Act of 1964 and the regulations at 49 CFR part 21; 49 U.S.C. § 47123; Section 504 of the Rehabilitation Act; the Age Discrimination Act of 1975; Titles II and III of the Americans with Disabilities Act; the Civil Rights Restoration Act of 1987; Executive Orders 12898 and 13166; Title IX of the Education Amendments of 1972; and all other authorities listed in Exhibit E (Federal Contract Provisions and Flow‑Down Requirements). (b) No person shall, on the grounds of race, color, national origin (including limited English proficiency), creed, sex (including sexual orientation and gender identity), age, or disability be excluded from participating in, be denied the benefits of, or be otherwise subjected to discrimination under any activity conducted with or benefiting from Federal assistance. (c) Contractor shall flow these requirements down to all tiers.</w:t>
      </w:r>
    </w:p>
    <w:p w14:paraId="324243C9" w14:textId="77777777" w:rsidR="00F00A0B" w:rsidRDefault="00015A15">
      <w:pPr>
        <w:pStyle w:val="ListNumber"/>
        <w:numPr>
          <w:ilvl w:val="0"/>
          <w:numId w:val="10"/>
        </w:numPr>
      </w:pPr>
      <w:r>
        <w:t>Intellectual Property; Work Product. All reports, profiles, specifications, templates, interview guides, and other deliverables and materials first created, developed, or reduced to practice by Contractor specifically for the Authority under this Agreement ("Work Product") shall be deemed works made for hire to the extent permitted by law; otherwise, Contractor hereby irrevocably assigns to the Authority all right, title, and interest in and to the Work Product, exclusive of Contractor’s pre‑existing tools and methodologies ("Background IP"). Contractor grants the Authority a perpetual, irrevocable, worldwide, royalty‑free license to use, reproduce, modify, and create derivative works from any Background IP embedded in the Work Product to the extent necessary to use the Work Product.</w:t>
      </w:r>
    </w:p>
    <w:p w14:paraId="332F4273" w14:textId="77777777" w:rsidR="00F00A0B" w:rsidRDefault="00015A15">
      <w:pPr>
        <w:pStyle w:val="ListNumber"/>
        <w:numPr>
          <w:ilvl w:val="0"/>
          <w:numId w:val="10"/>
        </w:numPr>
      </w:pPr>
      <w:r>
        <w:t>Non‑Solicitation. During the term and for twelve (12) months thereafter, Contractor shall not, without the Authority’s prior written consent, directly solicit for employment any employee of the Authority with whom Contractor had material contact in performing the Services; this restriction does not prohibit general solicitations not specifically targeted at Authority employees.</w:t>
      </w:r>
    </w:p>
    <w:p w14:paraId="3714F3BE" w14:textId="77777777" w:rsidR="00F00A0B" w:rsidRDefault="00015A15">
      <w:pPr>
        <w:pStyle w:val="ListNumber"/>
        <w:numPr>
          <w:ilvl w:val="0"/>
          <w:numId w:val="10"/>
        </w:numPr>
      </w:pPr>
      <w:r>
        <w:t xml:space="preserve">Indemnification; Sovereign Immunity. To the fullest extent permitted by law, Contractor shall indemnify, defend, and hold harmless the Authority and its officers, employees, and agents from and against any and all claims, demands, damages, losses, liabilities, fines, penalties, costs, and expenses (including reasonable attorney fees and costs of defense) arising out of or resulting from: (a) the negligent acts or omissions or willful misconduct of Contractor or its subcontractors; (b) Contractor’s breach of this Agreement; (c) actual or alleged infringement or misappropriation of any intellectual property right by the Work Product or Services (excluding materials supplied by the Authority); or (d) a data breach or security incident caused </w:t>
      </w:r>
      <w:r>
        <w:lastRenderedPageBreak/>
        <w:t>by Contractor or its subcontractors. Nothing herein shall be construed as a waiver of the Authority’s sovereign immunity or the monetary limits set forth in Section 768.28, Florida Statutes, or as the consent of the Authority to be sued by third parties.</w:t>
      </w:r>
    </w:p>
    <w:p w14:paraId="39D7A22E" w14:textId="77777777" w:rsidR="00F00A0B" w:rsidRDefault="00015A15">
      <w:pPr>
        <w:pStyle w:val="ListNumber"/>
        <w:numPr>
          <w:ilvl w:val="0"/>
          <w:numId w:val="10"/>
        </w:numPr>
      </w:pPr>
      <w:r>
        <w:t>Limitations of Liability; Authority Protections. Contractor shall not exclude, limit, or disclaim its liability to the Authority for its indemnity obligations, breaches of confidentiality, data breaches, or infringement. Any limitation of liability or exclusion of damages in Contractor’s forms is null and void. The Authority shall have no liability for lost profits, incidental, consequential, special, or punitive damages.</w:t>
      </w:r>
    </w:p>
    <w:p w14:paraId="2075969B" w14:textId="77777777" w:rsidR="00F00A0B" w:rsidRDefault="00015A15">
      <w:pPr>
        <w:pStyle w:val="ListNumber"/>
        <w:numPr>
          <w:ilvl w:val="0"/>
          <w:numId w:val="10"/>
        </w:numPr>
      </w:pPr>
      <w:r>
        <w:t>Records; Audit; Inspection. Contractor shall maintain complete and accurate records relating to performance and charges under this Agreement for at least five (5) years after final payment. The Authority, its internal and external auditors, the State of Florida, and federal agencies with jurisdiction may inspect and audit such records and Contractor’s facilities relevant to the Services upon reasonable notice.</w:t>
      </w:r>
    </w:p>
    <w:p w14:paraId="5A1F6E41" w14:textId="77777777" w:rsidR="00F00A0B" w:rsidRDefault="00015A15">
      <w:pPr>
        <w:pStyle w:val="ListNumber"/>
        <w:numPr>
          <w:ilvl w:val="0"/>
          <w:numId w:val="10"/>
        </w:numPr>
      </w:pPr>
      <w:r>
        <w:t>Assignment; Change of Control. Contractor shall not assign this Agreement or any right or obligation hereunder, whether by operation of law or otherwise, without the Authority’s prior written consent. A change in ownership or control of Contractor shall be deemed an assignment requiring consent. Any attempted assignment without consent is void.</w:t>
      </w:r>
    </w:p>
    <w:p w14:paraId="02D5AB6D" w14:textId="77777777" w:rsidR="00F00A0B" w:rsidRDefault="00015A15">
      <w:pPr>
        <w:pStyle w:val="ListNumber"/>
        <w:numPr>
          <w:ilvl w:val="0"/>
          <w:numId w:val="10"/>
        </w:numPr>
      </w:pPr>
      <w:r>
        <w:t>Subcontracting; Flow‑Down. Contractor shall flow down to all subcontractors all terms of this Agreement applicable to the subcontracted work, including the provisions of Exhibit E and any incorporated provisions from Attachments K and L, and shall remain responsible for subcontractor compliance.</w:t>
      </w:r>
    </w:p>
    <w:p w14:paraId="5A1E3915" w14:textId="77777777" w:rsidR="00F00A0B" w:rsidRDefault="00015A15">
      <w:pPr>
        <w:pStyle w:val="ListNumber"/>
        <w:numPr>
          <w:ilvl w:val="0"/>
          <w:numId w:val="10"/>
        </w:numPr>
      </w:pPr>
      <w:r>
        <w:t>Termination for Convenience. The Authority may terminate this Agreement for convenience, in whole or in part, upon thirty (30) days’ written notice. Contractor shall cease work as directed and be paid for Services satisfactorily performed to the effective date of termination and reasonable, pre‑approved expenses incurred, less any amounts previously paid and subject to the Authority’s right of setoff.</w:t>
      </w:r>
    </w:p>
    <w:p w14:paraId="5480B538" w14:textId="77777777" w:rsidR="00F00A0B" w:rsidRDefault="00015A15">
      <w:pPr>
        <w:pStyle w:val="ListNumber"/>
        <w:numPr>
          <w:ilvl w:val="0"/>
          <w:numId w:val="10"/>
        </w:numPr>
      </w:pPr>
      <w:r>
        <w:t>Suspension; Remedies for Default; Reprocurement. The Authority may suspend performance for its convenience or upon Contractor’s default. If Contractor fails to cure a material breach within ten (10) days after written notice (or such longer period as the Authority may authorize in writing), the Authority may terminate for cause, pursue reprocurement from alternate sources, and recover from Contractor all reprocurement costs and other damages permitted by law, without prejudice to any other rights or remedies.</w:t>
      </w:r>
    </w:p>
    <w:p w14:paraId="68B506F9" w14:textId="77777777" w:rsidR="00F00A0B" w:rsidRDefault="00015A15">
      <w:pPr>
        <w:pStyle w:val="ListNumber"/>
        <w:numPr>
          <w:ilvl w:val="0"/>
          <w:numId w:val="10"/>
        </w:numPr>
      </w:pPr>
      <w:r>
        <w:t>Candidate Replacement Guarantee. Contractor shall provide a replacement search at no additional professional fee if the placed Executive Director resigns or is terminated for cause within [12] months after start date, excluding Authority layoffs or position elimination. Out‑of‑pocket expenses for the replacement search shall be billed at cost if pre‑approved by the Authority.</w:t>
      </w:r>
    </w:p>
    <w:p w14:paraId="03D9724D" w14:textId="77777777" w:rsidR="00F00A0B" w:rsidRDefault="00015A15">
      <w:pPr>
        <w:pStyle w:val="ListNumber"/>
        <w:numPr>
          <w:ilvl w:val="0"/>
          <w:numId w:val="10"/>
        </w:numPr>
      </w:pPr>
      <w:r>
        <w:t>Compliance with Laws; Ethics; Gifts. Contractor shall comply with all applicable federal, state, and local laws, regulations, and ordinances, including Florida ethics, lobbying, and gift laws. Contractor shall not offer or give any gratuity to any Authority official or employee.</w:t>
      </w:r>
    </w:p>
    <w:p w14:paraId="4802A068" w14:textId="77777777" w:rsidR="00F00A0B" w:rsidRDefault="00015A15">
      <w:pPr>
        <w:pStyle w:val="ListNumber"/>
        <w:numPr>
          <w:ilvl w:val="0"/>
          <w:numId w:val="10"/>
        </w:numPr>
      </w:pPr>
      <w:r>
        <w:t>Conflicts of Interest. Contractor represents and warrants that it has no conflicting contractual or fiduciary obligations that would impair its performance. Contractor shall disclose any potential conflict promptly and take corrective action satisfactory to the Authority.</w:t>
      </w:r>
    </w:p>
    <w:p w14:paraId="27D0849C" w14:textId="77777777" w:rsidR="00F00A0B" w:rsidRDefault="00015A15">
      <w:pPr>
        <w:pStyle w:val="ListNumber"/>
        <w:numPr>
          <w:ilvl w:val="0"/>
          <w:numId w:val="10"/>
        </w:numPr>
      </w:pPr>
      <w:r>
        <w:t>Open Meetings Support. Contractor acknowledges Authority deliberations may occur in publicly noticed meetings under Florida law and shall support the Authority’s process accordingly, including timely preparation of public‑facing materials as directed.</w:t>
      </w:r>
    </w:p>
    <w:p w14:paraId="057C0B73" w14:textId="77777777" w:rsidR="00F00A0B" w:rsidRDefault="00015A15">
      <w:pPr>
        <w:pStyle w:val="ListNumber"/>
        <w:numPr>
          <w:ilvl w:val="0"/>
          <w:numId w:val="10"/>
        </w:numPr>
      </w:pPr>
      <w:r>
        <w:lastRenderedPageBreak/>
        <w:t>Force Majeure. Neither party is liable for delay or failure to perform due to causes beyond its reasonable control, provided the impacted party gives prompt notice and uses diligent efforts to mitigate. Labor disputes and subcontractor failures are not force majeure for Contractor unless arising from general industry actions beyond Contractor’s control.</w:t>
      </w:r>
    </w:p>
    <w:p w14:paraId="02CFE5CA" w14:textId="77777777" w:rsidR="00F00A0B" w:rsidRDefault="00015A15">
      <w:pPr>
        <w:pStyle w:val="ListNumber"/>
        <w:numPr>
          <w:ilvl w:val="0"/>
          <w:numId w:val="10"/>
        </w:numPr>
      </w:pPr>
      <w:r>
        <w:t>Notices. Notices shall be in writing and deemed given when delivered in person; sent by nationally recognized overnight courier; or mailed by certified mail, return receipt requested, to the addresses below, or as later designated in writing: Authority: [Address]. Contractor: [Address]. Email copies may be provided for convenience but do not constitute notice.</w:t>
      </w:r>
    </w:p>
    <w:p w14:paraId="7CAF33E5" w14:textId="77777777" w:rsidR="00F00A0B" w:rsidRDefault="00015A15">
      <w:pPr>
        <w:pStyle w:val="ListNumber"/>
        <w:numPr>
          <w:ilvl w:val="0"/>
          <w:numId w:val="10"/>
        </w:numPr>
      </w:pPr>
      <w:r>
        <w:t>Governing Law; Venue; Jury Trial Waiver. This Agreement is governed by Florida law. Venue lies exclusively in the state courts located in St. Johns County, Florida. TO THE FULLEST EXTENT PERMITTED BY LAW, THE PARTIES WAIVE TRIAL BY JURY IN ANY PROCEEDING ARISING OUT OF OR RELATING TO THIS AGREEMENT.</w:t>
      </w:r>
    </w:p>
    <w:p w14:paraId="6866DD44" w14:textId="77777777" w:rsidR="00F00A0B" w:rsidRDefault="00015A15">
      <w:pPr>
        <w:pStyle w:val="ListNumber"/>
        <w:numPr>
          <w:ilvl w:val="0"/>
          <w:numId w:val="10"/>
        </w:numPr>
      </w:pPr>
      <w:r>
        <w:t>Order of Precedence; Incorporation of Federal Provisions. This Agreement (including its exhibits) constitutes the entire agreement and supersedes prior negotiations. In the event of conflict, the following order applies: (1) this Agreement; (2) Exhibit E (including any provisions incorporated from Attachments K and L as the Authority may deem necessary or appropriate in the final contract); (3) the RFP; (4) Contractor’s proposal. No terms on Contractor forms shall modify this Agreement unless expressly accepted in a written amendment executed by the Authority.</w:t>
      </w:r>
    </w:p>
    <w:p w14:paraId="4D435B09" w14:textId="77777777" w:rsidR="00F00A0B" w:rsidRDefault="00015A15">
      <w:pPr>
        <w:pStyle w:val="ListNumber"/>
        <w:numPr>
          <w:ilvl w:val="0"/>
          <w:numId w:val="10"/>
        </w:numPr>
      </w:pPr>
      <w:r>
        <w:t>Counterparts; Electronic Signatures. This Agreement may be executed in counterparts and by electronic signatures, each of which is deemed an original and together one instrument.</w:t>
      </w:r>
    </w:p>
    <w:p w14:paraId="2C08403D" w14:textId="77777777" w:rsidR="00F00A0B" w:rsidRDefault="00015A15">
      <w:r>
        <w:t>Exhibit A – Scope of Services; Exhibit B – Key Personnel; Exhibit C – Insurance Requirements; Exhibit D – Compensation and Payment Schedule; Exhibit E – Federal Contract Provisions and Flow‑Down Requirements (which may include or incorporate provisions from Attachments K and L in the Authority’s discretion).</w:t>
      </w:r>
    </w:p>
    <w:p w14:paraId="53952113" w14:textId="77777777" w:rsidR="00F00A0B" w:rsidRDefault="00015A15">
      <w:r>
        <w:t>[Signature Blocks]</w:t>
      </w:r>
    </w:p>
    <w:p w14:paraId="1B22C998" w14:textId="77777777" w:rsidR="00F00A0B" w:rsidRDefault="00015A15">
      <w:r>
        <w:t>—</w:t>
      </w:r>
    </w:p>
    <w:p w14:paraId="209C9115" w14:textId="77777777" w:rsidR="00F00A0B" w:rsidRDefault="00015A15">
      <w:r>
        <w:t>Exhibit C (Insurance Requirements) – Minimum, without limiting the foregoing:</w:t>
      </w:r>
    </w:p>
    <w:p w14:paraId="31768355" w14:textId="77777777" w:rsidR="00F00A0B" w:rsidRDefault="00015A15">
      <w:pPr>
        <w:pStyle w:val="ListBullet"/>
      </w:pPr>
      <w:r>
        <w:t>Commercial General Liability: $1,000,000 per occurrence; $2,000,000 general aggregate; products/completed ops; contractual liability; personal/advertising injury; additional insured (primary/noncontributory); waiver of subrogation.</w:t>
      </w:r>
    </w:p>
    <w:p w14:paraId="2A993044" w14:textId="77777777" w:rsidR="00F00A0B" w:rsidRDefault="00015A15">
      <w:pPr>
        <w:pStyle w:val="ListBullet"/>
      </w:pPr>
      <w:r>
        <w:t>Professional Liability (Errors &amp; Omissions): $2,000,000 per claim and aggregate; retroactive date no later than the start of Services; maintain coverage for two years post‑completion or purchase tail.</w:t>
      </w:r>
    </w:p>
    <w:p w14:paraId="51DD791E" w14:textId="77777777" w:rsidR="00F00A0B" w:rsidRDefault="00015A15">
      <w:pPr>
        <w:pStyle w:val="ListBullet"/>
      </w:pPr>
      <w:r>
        <w:t>Automobile Liability: $1,000,000 combined single limit per accident for owned, hired, and non‑owned autos.</w:t>
      </w:r>
    </w:p>
    <w:p w14:paraId="387C5AA0" w14:textId="77777777" w:rsidR="00F00A0B" w:rsidRDefault="00015A15">
      <w:pPr>
        <w:pStyle w:val="ListBullet"/>
      </w:pPr>
      <w:r>
        <w:t>Workers’ Compensation and Employers’ Liability: Statutory WC; $500,000 EL each accident/disease policy limit/disease each employee; waiver of subrogation where permitted by law.</w:t>
      </w:r>
    </w:p>
    <w:p w14:paraId="15AD8717" w14:textId="77777777" w:rsidR="00F00A0B" w:rsidRDefault="00015A15">
      <w:pPr>
        <w:pStyle w:val="ListBullet"/>
      </w:pPr>
      <w:r>
        <w:t>Cyber/Privacy Liability: $2,000,000 per claim and aggregate covering privacy liability, network security, media liability, regulatory proceedings, notification, credit monitoring, and incident response costs.</w:t>
      </w:r>
    </w:p>
    <w:p w14:paraId="3D244477" w14:textId="77777777" w:rsidR="00F00A0B" w:rsidRDefault="00015A15">
      <w:r>
        <w:lastRenderedPageBreak/>
        <w:t>Exhibit D (Compensation and Payment Schedule) – To include milestone‑based payments tied to Authority acceptance of deliverables, with a reasonable retainage (e.g., 10%) withheld until successful placement and commencement of the Executive Director.</w:t>
      </w:r>
    </w:p>
    <w:p w14:paraId="33634B2B" w14:textId="77777777" w:rsidR="00F00A0B" w:rsidRDefault="00F00A0B">
      <w:pPr>
        <w:pBdr>
          <w:bottom w:val="single" w:sz="6" w:space="1" w:color="auto"/>
        </w:pBdr>
      </w:pPr>
    </w:p>
    <w:p w14:paraId="03478478" w14:textId="77777777" w:rsidR="00F00A0B" w:rsidRDefault="00015A15">
      <w:pPr>
        <w:pStyle w:val="Heading3"/>
      </w:pPr>
      <w:r>
        <w:t>Attachment B: Proposal Acknowledgment and Addenda Receipt Form</w:t>
      </w:r>
    </w:p>
    <w:p w14:paraId="69B1ACE2" w14:textId="77777777" w:rsidR="00F00A0B" w:rsidRDefault="00015A15">
      <w:pPr>
        <w:pStyle w:val="ListBullet"/>
      </w:pPr>
      <w:r>
        <w:t>Legal name of Respondent (as registered): ________________________________</w:t>
      </w:r>
    </w:p>
    <w:p w14:paraId="60424A45" w14:textId="77777777" w:rsidR="00F00A0B" w:rsidRDefault="00015A15">
      <w:pPr>
        <w:pStyle w:val="ListBullet"/>
      </w:pPr>
      <w:r>
        <w:t>FEIN: __________________</w:t>
      </w:r>
    </w:p>
    <w:p w14:paraId="6A2826AF" w14:textId="77777777" w:rsidR="00F00A0B" w:rsidRDefault="00015A15">
      <w:pPr>
        <w:pStyle w:val="ListBullet"/>
      </w:pPr>
      <w:r>
        <w:t>Mailing address: __________________________________________</w:t>
      </w:r>
    </w:p>
    <w:p w14:paraId="2160FDD0" w14:textId="77777777" w:rsidR="00F00A0B" w:rsidRDefault="00015A15">
      <w:pPr>
        <w:pStyle w:val="ListBullet"/>
      </w:pPr>
      <w:r>
        <w:t>City/State/Zip: ____________________________________________</w:t>
      </w:r>
    </w:p>
    <w:p w14:paraId="20F5E02B" w14:textId="77777777" w:rsidR="00F00A0B" w:rsidRDefault="00015A15">
      <w:pPr>
        <w:pStyle w:val="ListBullet"/>
      </w:pPr>
      <w:r>
        <w:t>Telephone: ____________________ Email: ____________________</w:t>
      </w:r>
    </w:p>
    <w:p w14:paraId="13A58FAA" w14:textId="77777777" w:rsidR="00F00A0B" w:rsidRDefault="00015A15">
      <w:pPr>
        <w:pStyle w:val="ListBullet"/>
      </w:pPr>
      <w:r>
        <w:t>Authorized representative name and title: ________________________________</w:t>
      </w:r>
    </w:p>
    <w:p w14:paraId="51852F85" w14:textId="77777777" w:rsidR="00F00A0B" w:rsidRDefault="00015A15">
      <w:pPr>
        <w:pStyle w:val="ListBullet"/>
      </w:pPr>
      <w:r>
        <w:t>Signature: _____________________________ Date: ______________</w:t>
      </w:r>
    </w:p>
    <w:p w14:paraId="7D7CD515" w14:textId="77777777" w:rsidR="00F00A0B" w:rsidRDefault="00015A15">
      <w:pPr>
        <w:pStyle w:val="ListBullet"/>
      </w:pPr>
      <w:r>
        <w:t>Acknowledgment: Respondent acknowledges receipt of the following addenda to this RFP (list by number and date or mark N/A):</w:t>
      </w:r>
    </w:p>
    <w:p w14:paraId="390789AE" w14:textId="77777777" w:rsidR="00F00A0B" w:rsidRDefault="00015A15">
      <w:pPr>
        <w:pStyle w:val="ListBullet2"/>
      </w:pPr>
      <w:r>
        <w:t>Addendum No. ____ dated ______</w:t>
      </w:r>
    </w:p>
    <w:p w14:paraId="7139A635" w14:textId="77777777" w:rsidR="00F00A0B" w:rsidRDefault="00015A15">
      <w:pPr>
        <w:pStyle w:val="ListBullet2"/>
      </w:pPr>
      <w:r>
        <w:t>Addendum No. ____ dated ______</w:t>
      </w:r>
    </w:p>
    <w:p w14:paraId="4BAA42D4" w14:textId="77777777" w:rsidR="00F00A0B" w:rsidRDefault="00015A15">
      <w:pPr>
        <w:pStyle w:val="ListBullet2"/>
      </w:pPr>
      <w:r>
        <w:t>Addendum No. ____ dated ______</w:t>
      </w:r>
    </w:p>
    <w:p w14:paraId="5DD2975B" w14:textId="77777777" w:rsidR="00F00A0B" w:rsidRDefault="00015A15">
      <w:pPr>
        <w:pStyle w:val="ListBullet"/>
      </w:pPr>
      <w:r>
        <w:t>Binding Period: Respondent agrees that its proposal shall remain firm and binding for 180 days from the Proposal Due Date.</w:t>
      </w:r>
    </w:p>
    <w:p w14:paraId="73055DD0" w14:textId="77777777" w:rsidR="00F00A0B" w:rsidRDefault="00015A15">
      <w:pPr>
        <w:pStyle w:val="ListBullet"/>
      </w:pPr>
      <w:r>
        <w:t>Certification: By signing above, the undersigned certifies that the information contained in the proposal is true and correct and that the Respondent will comply with all requirements of the RFP and applicable law.</w:t>
      </w:r>
    </w:p>
    <w:p w14:paraId="2FECFA03" w14:textId="77777777" w:rsidR="00F00A0B" w:rsidRDefault="00F00A0B">
      <w:pPr>
        <w:pBdr>
          <w:bottom w:val="single" w:sz="6" w:space="1" w:color="auto"/>
        </w:pBdr>
      </w:pPr>
    </w:p>
    <w:p w14:paraId="31400BE6" w14:textId="77777777" w:rsidR="00F00A0B" w:rsidRDefault="00015A15">
      <w:pPr>
        <w:pStyle w:val="Heading3"/>
      </w:pPr>
      <w:r>
        <w:t>Attachment C: Sworn Statement on Public Entity Crimes</w:t>
      </w:r>
    </w:p>
    <w:p w14:paraId="011542FC" w14:textId="02987AD2" w:rsidR="00F00A0B" w:rsidRDefault="00015A15">
      <w:r>
        <w:t xml:space="preserve">This sworn statement is submitted to the </w:t>
      </w:r>
      <w:r w:rsidR="00C47D36">
        <w:t>St. Johns County Airport Authority</w:t>
      </w:r>
      <w:r>
        <w:t xml:space="preserve"> by ________________________________ for [entity name and FEIN] in compliance with Florida law regarding public entity crimes.</w:t>
      </w:r>
    </w:p>
    <w:p w14:paraId="27B77B84" w14:textId="77777777" w:rsidR="00F00A0B" w:rsidRDefault="00015A15">
      <w:pPr>
        <w:pStyle w:val="ListNumber"/>
        <w:numPr>
          <w:ilvl w:val="0"/>
          <w:numId w:val="11"/>
        </w:numPr>
      </w:pPr>
      <w:r>
        <w:t>The person signing this statement certifies, to the best of his or her knowledge and belief, that the entity identified above and its affiliates have not been placed on the convicted vendor list following a conviction for a public entity crime and are eligible to submit a proposal, perform work, or transact business with a public entity in Florida.</w:t>
      </w:r>
    </w:p>
    <w:p w14:paraId="450A32BF" w14:textId="77777777" w:rsidR="00F00A0B" w:rsidRDefault="00015A15">
      <w:pPr>
        <w:pStyle w:val="ListNumber"/>
        <w:numPr>
          <w:ilvl w:val="0"/>
          <w:numId w:val="11"/>
        </w:numPr>
      </w:pPr>
      <w:r>
        <w:t>The person signing this form understands and agrees that the submission of a false statement is a felony in the State of Florida.</w:t>
      </w:r>
    </w:p>
    <w:p w14:paraId="3349ACC8" w14:textId="77777777" w:rsidR="00F00A0B" w:rsidRDefault="00015A15">
      <w:pPr>
        <w:pStyle w:val="ListBullet"/>
      </w:pPr>
      <w:r>
        <w:t>Name of Authorized Person: ________________________________</w:t>
      </w:r>
    </w:p>
    <w:p w14:paraId="2C76394B" w14:textId="77777777" w:rsidR="00F00A0B" w:rsidRDefault="00015A15">
      <w:pPr>
        <w:pStyle w:val="ListBullet"/>
      </w:pPr>
      <w:r>
        <w:t>Title: __________________________</w:t>
      </w:r>
    </w:p>
    <w:p w14:paraId="4E80B468" w14:textId="77777777" w:rsidR="00F00A0B" w:rsidRDefault="00015A15">
      <w:pPr>
        <w:pStyle w:val="ListBullet"/>
      </w:pPr>
      <w:r>
        <w:t>Signature: ______________________ Date: __________</w:t>
      </w:r>
    </w:p>
    <w:p w14:paraId="3A95E288" w14:textId="77777777" w:rsidR="00F00A0B" w:rsidRDefault="00015A15">
      <w:pPr>
        <w:pStyle w:val="ListBullet"/>
      </w:pPr>
      <w:r>
        <w:t>State of ____________ County of ____________</w:t>
      </w:r>
    </w:p>
    <w:p w14:paraId="232052B3" w14:textId="77777777" w:rsidR="00F00A0B" w:rsidRDefault="00015A15">
      <w:r>
        <w:lastRenderedPageBreak/>
        <w:t>Sworn to and subscribed before me by means of [ ] physical presence or [ ] online notarization, this ___ day of ________</w:t>
      </w:r>
      <w:r>
        <w:rPr>
          <w:b/>
        </w:rPr>
        <w:t>, 20</w:t>
      </w:r>
      <w:r>
        <w:t>, by ____________________________, who is personally known to me or who has produced _________________________ as identification.</w:t>
      </w:r>
    </w:p>
    <w:p w14:paraId="2A1167F5" w14:textId="77777777" w:rsidR="00F00A0B" w:rsidRDefault="00015A15">
      <w:r>
        <w:t>Notary Public, State of ____________ (Seal)</w:t>
      </w:r>
    </w:p>
    <w:p w14:paraId="78CDEE0E" w14:textId="77777777" w:rsidR="00F00A0B" w:rsidRDefault="00F00A0B">
      <w:pPr>
        <w:pBdr>
          <w:bottom w:val="single" w:sz="6" w:space="1" w:color="auto"/>
        </w:pBdr>
      </w:pPr>
    </w:p>
    <w:p w14:paraId="0F3276F1" w14:textId="77777777" w:rsidR="00F00A0B" w:rsidRDefault="00015A15">
      <w:pPr>
        <w:pStyle w:val="Heading3"/>
      </w:pPr>
      <w:r>
        <w:t>Attachment D: Scrutinized Companies Certification</w:t>
      </w:r>
    </w:p>
    <w:p w14:paraId="1E09A5BD" w14:textId="77777777" w:rsidR="00F00A0B" w:rsidRDefault="00015A15">
      <w:r>
        <w:t>By executing below, the Respondent certifies that it is not on the Scrutinized Companies lists and is not engaged in prohibited activities as defined under Florida law related to certain business operations in or with specified countries or governments. The Respondent further certifies that it will notify the Authority if it is placed on any such list or engages in prohibited activities during the term of any resulting contract.</w:t>
      </w:r>
    </w:p>
    <w:p w14:paraId="73280140" w14:textId="77777777" w:rsidR="00F00A0B" w:rsidRDefault="00015A15">
      <w:pPr>
        <w:pStyle w:val="ListBullet"/>
      </w:pPr>
      <w:r>
        <w:t>Respondent Legal Name: ________________________________</w:t>
      </w:r>
    </w:p>
    <w:p w14:paraId="60C4D9ED" w14:textId="77777777" w:rsidR="00F00A0B" w:rsidRDefault="00015A15">
      <w:pPr>
        <w:pStyle w:val="ListBullet"/>
      </w:pPr>
      <w:r>
        <w:t>Authorized Signature: _________________________________ Date: _________</w:t>
      </w:r>
    </w:p>
    <w:p w14:paraId="7AE945AA" w14:textId="77777777" w:rsidR="00F00A0B" w:rsidRDefault="00015A15">
      <w:pPr>
        <w:pStyle w:val="ListBullet"/>
      </w:pPr>
      <w:r>
        <w:t>Printed Name/Title: ____________________________________</w:t>
      </w:r>
    </w:p>
    <w:p w14:paraId="62229287" w14:textId="77777777" w:rsidR="00F00A0B" w:rsidRDefault="00F00A0B">
      <w:pPr>
        <w:pBdr>
          <w:bottom w:val="single" w:sz="6" w:space="1" w:color="auto"/>
        </w:pBdr>
      </w:pPr>
    </w:p>
    <w:p w14:paraId="635C23FA" w14:textId="77777777" w:rsidR="00F00A0B" w:rsidRDefault="00015A15">
      <w:pPr>
        <w:pStyle w:val="Heading3"/>
      </w:pPr>
      <w:r>
        <w:t>Attachment E: Drug-Free Workplace Certification (Optional for Tie Preference)</w:t>
      </w:r>
    </w:p>
    <w:p w14:paraId="60DD0CFA" w14:textId="77777777" w:rsidR="00F00A0B" w:rsidRDefault="00015A15">
      <w:r>
        <w:t>The undersigned certifies that the Respondent:</w:t>
      </w:r>
    </w:p>
    <w:p w14:paraId="1B47C6E3" w14:textId="77777777" w:rsidR="00F00A0B" w:rsidRDefault="00015A15">
      <w:pPr>
        <w:pStyle w:val="ListBullet"/>
      </w:pPr>
      <w:r>
        <w:t>Publishes a statement notifying employees that the unlawful manufacture, distribution, dispensing, possession, or use of a controlled substance is prohibited in the workplace and specifies actions that will be taken against employees for violations.</w:t>
      </w:r>
    </w:p>
    <w:p w14:paraId="2BA5B3CE" w14:textId="77777777" w:rsidR="00F00A0B" w:rsidRDefault="00015A15">
      <w:pPr>
        <w:pStyle w:val="ListBullet"/>
      </w:pPr>
      <w:r>
        <w:t>Informs employees about the dangers of drug abuse, the Respondent’s policy, available counseling/assistance programs, and penalties for violations.</w:t>
      </w:r>
    </w:p>
    <w:p w14:paraId="0EEFA84D" w14:textId="77777777" w:rsidR="00F00A0B" w:rsidRDefault="00015A15">
      <w:pPr>
        <w:pStyle w:val="ListBullet"/>
      </w:pPr>
      <w:r>
        <w:t>Gives each employee engaged in providing the Services a copy of the statement specified above.</w:t>
      </w:r>
    </w:p>
    <w:p w14:paraId="1B1849DF" w14:textId="77777777" w:rsidR="00F00A0B" w:rsidRDefault="00015A15">
      <w:pPr>
        <w:pStyle w:val="ListBullet"/>
      </w:pPr>
      <w:r>
        <w:t>Notifies the employee that, as a condition of employment, the employee will abide by the terms of the statement and notify the employer of any criminal drug statute conviction for a violation occurring in the workplace no later than five days after such conviction.</w:t>
      </w:r>
    </w:p>
    <w:p w14:paraId="0DD6B6D3" w14:textId="77777777" w:rsidR="00F00A0B" w:rsidRDefault="00015A15">
      <w:pPr>
        <w:pStyle w:val="ListBullet"/>
      </w:pPr>
      <w:r>
        <w:t>Imposes a sanction on, or requires satisfactory participation in a drug abuse assistance or rehabilitation program by, any employee convicted of a drug offense in the workplace.</w:t>
      </w:r>
    </w:p>
    <w:p w14:paraId="013062B8" w14:textId="77777777" w:rsidR="00F00A0B" w:rsidRDefault="00015A15">
      <w:pPr>
        <w:pStyle w:val="ListBullet"/>
      </w:pPr>
      <w:r>
        <w:t>Makes a good faith effort to continue to maintain a drug-free workplace.</w:t>
      </w:r>
    </w:p>
    <w:p w14:paraId="3847EACF" w14:textId="77777777" w:rsidR="00F00A0B" w:rsidRDefault="00015A15">
      <w:pPr>
        <w:pStyle w:val="ListBullet"/>
      </w:pPr>
      <w:r>
        <w:t>Respondent Legal Name: __________________________</w:t>
      </w:r>
    </w:p>
    <w:p w14:paraId="3A07E95B" w14:textId="77777777" w:rsidR="00F00A0B" w:rsidRDefault="00015A15">
      <w:pPr>
        <w:pStyle w:val="ListBullet"/>
      </w:pPr>
      <w:r>
        <w:t>Authorized Signature: ____________________________ Date: _______</w:t>
      </w:r>
    </w:p>
    <w:p w14:paraId="5C902B69" w14:textId="77777777" w:rsidR="00F00A0B" w:rsidRDefault="00015A15">
      <w:pPr>
        <w:pStyle w:val="ListBullet"/>
      </w:pPr>
      <w:r>
        <w:t>Printed Name/Title: ______________________________</w:t>
      </w:r>
    </w:p>
    <w:p w14:paraId="21DE55CE" w14:textId="77777777" w:rsidR="00F00A0B" w:rsidRDefault="00F00A0B">
      <w:pPr>
        <w:pBdr>
          <w:bottom w:val="single" w:sz="6" w:space="1" w:color="auto"/>
        </w:pBdr>
      </w:pPr>
    </w:p>
    <w:p w14:paraId="698E8092" w14:textId="77777777" w:rsidR="00F00A0B" w:rsidRDefault="00015A15">
      <w:pPr>
        <w:pStyle w:val="Heading3"/>
      </w:pPr>
      <w:r>
        <w:t>Attachment F: Bid Protest Procedures</w:t>
      </w:r>
    </w:p>
    <w:p w14:paraId="1AE75ED9" w14:textId="77777777" w:rsidR="00F00A0B" w:rsidRDefault="00015A15">
      <w:pPr>
        <w:pStyle w:val="ListNumber"/>
        <w:numPr>
          <w:ilvl w:val="0"/>
          <w:numId w:val="12"/>
        </w:numPr>
      </w:pPr>
      <w:r>
        <w:t>Purpose. These procedures provide a fair and timely method for resolving protests regarding this solicitation and any intended award.</w:t>
      </w:r>
    </w:p>
    <w:p w14:paraId="392E5D56" w14:textId="77777777" w:rsidR="00F00A0B" w:rsidRDefault="00015A15">
      <w:pPr>
        <w:pStyle w:val="ListNumber"/>
        <w:numPr>
          <w:ilvl w:val="0"/>
          <w:numId w:val="12"/>
        </w:numPr>
      </w:pPr>
      <w:r>
        <w:lastRenderedPageBreak/>
        <w:t>Definitions. "Notice of Intent to Protest" means a written notice filed with the Procurement Contact stating the grounds for protest. "Formal Protest" means a written petition stating with particularity the facts and law upon which the protest is based and the relief sought.</w:t>
      </w:r>
    </w:p>
    <w:p w14:paraId="42BF700D" w14:textId="77777777" w:rsidR="00F00A0B" w:rsidRDefault="00015A15">
      <w:pPr>
        <w:pStyle w:val="ListNumber"/>
        <w:numPr>
          <w:ilvl w:val="0"/>
          <w:numId w:val="12"/>
        </w:numPr>
      </w:pPr>
      <w:r>
        <w:t>Notice of Intent to Protest. A Notice of Intent to Protest must be received by the Procurement Contact within seventy-two (72) hours (excluding weekends and Authority-recognized holidays) after the posting of the solicitation, addendum, intended decision, or other action protested.</w:t>
      </w:r>
    </w:p>
    <w:p w14:paraId="453A8B53" w14:textId="77777777" w:rsidR="00F00A0B" w:rsidRDefault="00015A15">
      <w:pPr>
        <w:pStyle w:val="ListNumber"/>
        <w:numPr>
          <w:ilvl w:val="0"/>
          <w:numId w:val="12"/>
        </w:numPr>
      </w:pPr>
      <w:r>
        <w:t>Formal Protest. A Formal Protest must be received within ten (10) calendar days after the timely filing of the Notice of Intent to Protest. The Formal Protest shall include: (a) case caption; (b) statement of facts; (c) statement of the law/rules allegedly violated; (d) specific issues of material fact; (e) requested remedy; and (f) all documentation supporting the protest.</w:t>
      </w:r>
    </w:p>
    <w:p w14:paraId="71FFB881" w14:textId="77777777" w:rsidR="00F00A0B" w:rsidRDefault="00015A15">
      <w:pPr>
        <w:pStyle w:val="ListNumber"/>
        <w:numPr>
          <w:ilvl w:val="0"/>
          <w:numId w:val="12"/>
        </w:numPr>
      </w:pPr>
      <w:r>
        <w:t>Protest Bond. A protest relating to an intended award must be accompanied by a bond or other security acceptable to the Authority in an amount equal to one percent (1%) of the estimated contract value, but not less than $500 and not more than $50,000. Failure to post the bond will result in dismissal of the protest. If the protest is upheld, the bond shall be returned; if denied, the bond may be forfeited to cover costs.</w:t>
      </w:r>
    </w:p>
    <w:p w14:paraId="7A562665" w14:textId="77777777" w:rsidR="00F00A0B" w:rsidRDefault="00015A15">
      <w:pPr>
        <w:pStyle w:val="ListNumber"/>
        <w:numPr>
          <w:ilvl w:val="0"/>
          <w:numId w:val="12"/>
        </w:numPr>
      </w:pPr>
      <w:r>
        <w:t>Stay of Procurement. Upon timely filing of a Notice of Intent to Protest, the Authority will not proceed further with the solicitation or award process until the protest is resolved, unless the Executive Director makes a written determination that continuation is necessary to avoid an immediate and serious danger to the public health, safety, or welfare.</w:t>
      </w:r>
    </w:p>
    <w:p w14:paraId="560BE282" w14:textId="77777777" w:rsidR="00F00A0B" w:rsidRDefault="00015A15">
      <w:pPr>
        <w:pStyle w:val="ListNumber"/>
        <w:numPr>
          <w:ilvl w:val="0"/>
          <w:numId w:val="12"/>
        </w:numPr>
      </w:pPr>
      <w:r>
        <w:t>Informal Resolution; Hearing. The Authority may conduct an informal settlement conference. If unresolved, the Authority will schedule a protest hearing before a hearing officer designated by the Authority. The hearing officer shall provide the parties an opportunity to present evidence and argument. The burden of proof rests with the protestor. The standard of review is whether the Authority’s action had a rational basis and was not arbitrary or capricious.</w:t>
      </w:r>
    </w:p>
    <w:p w14:paraId="20FD6BC5" w14:textId="77777777" w:rsidR="00F00A0B" w:rsidRDefault="00015A15">
      <w:pPr>
        <w:pStyle w:val="ListNumber"/>
        <w:numPr>
          <w:ilvl w:val="0"/>
          <w:numId w:val="12"/>
        </w:numPr>
      </w:pPr>
      <w:r>
        <w:t>Decision; Appeal. The hearing officer shall issue a recommended order. The Authority’s Board or designee will issue a final order. The final order constitutes final agency action subject to judicial review as permitted by law.</w:t>
      </w:r>
    </w:p>
    <w:p w14:paraId="351C368A" w14:textId="77777777" w:rsidR="00F00A0B" w:rsidRDefault="00015A15">
      <w:pPr>
        <w:pStyle w:val="ListNumber"/>
        <w:numPr>
          <w:ilvl w:val="0"/>
          <w:numId w:val="12"/>
        </w:numPr>
      </w:pPr>
      <w:r>
        <w:t>Filing; Service. All protest filings shall be submitted to the Procurement Contact identified in Section 6.3 of the RFP, with simultaneous service on all known affected parties.</w:t>
      </w:r>
    </w:p>
    <w:p w14:paraId="16651B09" w14:textId="77777777" w:rsidR="00F00A0B" w:rsidRDefault="00F00A0B">
      <w:pPr>
        <w:pBdr>
          <w:bottom w:val="single" w:sz="6" w:space="1" w:color="auto"/>
        </w:pBdr>
      </w:pPr>
    </w:p>
    <w:p w14:paraId="3FCAE603" w14:textId="77777777" w:rsidR="00F00A0B" w:rsidRDefault="00015A15">
      <w:pPr>
        <w:pStyle w:val="Heading3"/>
      </w:pPr>
      <w:r>
        <w:t>Attachment G: E‑Verify Registration and Compliance Affidavit</w:t>
      </w:r>
    </w:p>
    <w:p w14:paraId="65E6CE57" w14:textId="77777777" w:rsidR="00F00A0B" w:rsidRDefault="00015A15">
      <w:r>
        <w:t>Under penalties of perjury, I declare that the Respondent is registered with and uses the E‑Verify system to verify the work authorization status of all newly hired employees performing work under any contract resulting from this RFP and will require the same of all subcontractors.</w:t>
      </w:r>
    </w:p>
    <w:p w14:paraId="6286C3DC" w14:textId="77777777" w:rsidR="00F00A0B" w:rsidRDefault="00015A15">
      <w:pPr>
        <w:pStyle w:val="ListBullet"/>
      </w:pPr>
      <w:r>
        <w:t>Company Legal Name: ______________________________________</w:t>
      </w:r>
    </w:p>
    <w:p w14:paraId="6714AA1C" w14:textId="77777777" w:rsidR="00F00A0B" w:rsidRDefault="00015A15">
      <w:pPr>
        <w:pStyle w:val="ListBullet"/>
      </w:pPr>
      <w:r>
        <w:t>E‑Verify Company ID (if applicable): _________________________</w:t>
      </w:r>
    </w:p>
    <w:p w14:paraId="1ECED030" w14:textId="77777777" w:rsidR="00F00A0B" w:rsidRDefault="00015A15">
      <w:pPr>
        <w:pStyle w:val="ListBullet"/>
      </w:pPr>
      <w:r>
        <w:t>Authorized Signature: __________________________ Date: _______</w:t>
      </w:r>
    </w:p>
    <w:p w14:paraId="7F157702" w14:textId="77777777" w:rsidR="00F00A0B" w:rsidRDefault="00015A15">
      <w:pPr>
        <w:pStyle w:val="ListBullet"/>
      </w:pPr>
      <w:r>
        <w:t>Printed Name/Title: ________________________________________</w:t>
      </w:r>
    </w:p>
    <w:p w14:paraId="7583830E" w14:textId="77777777" w:rsidR="00F00A0B" w:rsidRDefault="00F00A0B">
      <w:pPr>
        <w:pBdr>
          <w:bottom w:val="single" w:sz="6" w:space="1" w:color="auto"/>
        </w:pBdr>
      </w:pPr>
    </w:p>
    <w:p w14:paraId="5147AFB0" w14:textId="77777777" w:rsidR="00F00A0B" w:rsidRDefault="00015A15">
      <w:pPr>
        <w:pStyle w:val="Heading3"/>
      </w:pPr>
      <w:r>
        <w:lastRenderedPageBreak/>
        <w:t>Attachment H: Non-Collusion Affidavit and Conflict of Interest Disclosure</w:t>
      </w:r>
    </w:p>
    <w:p w14:paraId="462BD9AA" w14:textId="77777777" w:rsidR="00F00A0B" w:rsidRDefault="00015A15">
      <w:pPr>
        <w:pStyle w:val="ListNumber"/>
        <w:numPr>
          <w:ilvl w:val="0"/>
          <w:numId w:val="13"/>
        </w:numPr>
      </w:pPr>
      <w:r>
        <w:t>Non-Collusion. The undersigned certifies that this proposal is made independently and without collusion with any other Respondent or person and without any agreement, understanding, or planned common course of action with any other Respondent designed to limit competition.</w:t>
      </w:r>
    </w:p>
    <w:p w14:paraId="1B4A29B9" w14:textId="77777777" w:rsidR="00F00A0B" w:rsidRDefault="00015A15">
      <w:pPr>
        <w:pStyle w:val="ListNumber"/>
        <w:numPr>
          <w:ilvl w:val="0"/>
          <w:numId w:val="13"/>
        </w:numPr>
      </w:pPr>
      <w:r>
        <w:t>No Contingent Fees. The undersigned certifies that no person or agency has been employed or retained to solicit or secure the contract upon an agreement or understanding for a commission, percentage, brokerage, or contingent fee, except for bona fide employees or bona fide established commercial selling agencies maintained by the Respondent for the purpose of securing business.</w:t>
      </w:r>
    </w:p>
    <w:p w14:paraId="072F6551" w14:textId="77777777" w:rsidR="00F00A0B" w:rsidRDefault="00015A15">
      <w:pPr>
        <w:pStyle w:val="ListNumber"/>
        <w:numPr>
          <w:ilvl w:val="0"/>
          <w:numId w:val="13"/>
        </w:numPr>
      </w:pPr>
      <w:r>
        <w:t>Conflicts of Interest. The undersigned discloses any relationship, transaction, or circumstance that creates or appears to create a conflict of interest with the Authority, its Board members, or staff. If none, check: [ ] None.</w:t>
      </w:r>
    </w:p>
    <w:p w14:paraId="404E965D" w14:textId="77777777" w:rsidR="00F00A0B" w:rsidRDefault="00015A15" w:rsidP="002613D9">
      <w:pPr>
        <w:jc w:val="left"/>
      </w:pPr>
      <w:r>
        <w:t>Disclosure (attach pages if necessary): ____________________________________________________</w:t>
      </w:r>
    </w:p>
    <w:p w14:paraId="21EB41A2" w14:textId="77777777" w:rsidR="00F00A0B" w:rsidRDefault="00015A15">
      <w:pPr>
        <w:pStyle w:val="ListBullet"/>
      </w:pPr>
      <w:r>
        <w:t>Respondent Legal Name: ________________________________</w:t>
      </w:r>
    </w:p>
    <w:p w14:paraId="5941A124" w14:textId="77777777" w:rsidR="00F00A0B" w:rsidRDefault="00015A15">
      <w:pPr>
        <w:pStyle w:val="ListBullet"/>
      </w:pPr>
      <w:r>
        <w:t>Authorized Signature: _________________________________ Date: _________</w:t>
      </w:r>
    </w:p>
    <w:p w14:paraId="45CFD23F" w14:textId="77777777" w:rsidR="00F00A0B" w:rsidRDefault="00015A15">
      <w:pPr>
        <w:pStyle w:val="ListBullet"/>
      </w:pPr>
      <w:r>
        <w:t>Printed Name/Title: ____________________________________</w:t>
      </w:r>
    </w:p>
    <w:p w14:paraId="50C19181" w14:textId="77777777" w:rsidR="00F00A0B" w:rsidRDefault="00F00A0B">
      <w:pPr>
        <w:pBdr>
          <w:bottom w:val="single" w:sz="6" w:space="1" w:color="auto"/>
        </w:pBdr>
      </w:pPr>
    </w:p>
    <w:p w14:paraId="2CF7DACE" w14:textId="77777777" w:rsidR="00F00A0B" w:rsidRDefault="00015A15">
      <w:pPr>
        <w:pStyle w:val="Heading3"/>
      </w:pPr>
      <w:r>
        <w:t>Attachment I: Insurance Requirements and Evidence of Coverage</w:t>
      </w:r>
    </w:p>
    <w:p w14:paraId="3B91DB9D" w14:textId="77777777" w:rsidR="00F00A0B" w:rsidRDefault="00015A15">
      <w:r>
        <w:t>Minimum Required Coverages (or equivalent self-insurance):</w:t>
      </w:r>
    </w:p>
    <w:p w14:paraId="65A2FA83" w14:textId="77777777" w:rsidR="00F00A0B" w:rsidRDefault="00015A15">
      <w:pPr>
        <w:pStyle w:val="ListBullet"/>
      </w:pPr>
      <w:r>
        <w:t>Commercial General Liability: $1,000,000 per occurrence; $2,000,000 general aggregate; including products/completed operations, contractual liability, and personal/advertising injury; Authority named as additional insured on a primary and noncontributory basis.</w:t>
      </w:r>
    </w:p>
    <w:p w14:paraId="387163AF" w14:textId="77777777" w:rsidR="00F00A0B" w:rsidRDefault="00015A15">
      <w:pPr>
        <w:pStyle w:val="ListBullet"/>
      </w:pPr>
      <w:r>
        <w:t>Professional Liability (Errors &amp; Omissions): $2,000,000 per claim and aggregate; retroactive date no later than the start of Services; coverage maintained for at least two years after completion or tail purchased.</w:t>
      </w:r>
    </w:p>
    <w:p w14:paraId="710A0038" w14:textId="77777777" w:rsidR="00F00A0B" w:rsidRDefault="00015A15">
      <w:pPr>
        <w:pStyle w:val="ListBullet"/>
      </w:pPr>
      <w:r>
        <w:t>Automobile Liability: $1,000,000 combined single limit per accident for owned, hired, and non-owned autos.</w:t>
      </w:r>
    </w:p>
    <w:p w14:paraId="27B767C5" w14:textId="77777777" w:rsidR="00F00A0B" w:rsidRDefault="00015A15">
      <w:pPr>
        <w:pStyle w:val="ListBullet"/>
      </w:pPr>
      <w:r>
        <w:t>Workers’ Compensation and Employers’ Liability: Statutory WC; $500,000 EL each accident/disease policy limit/disease each employee; waiver of subrogation in favor of the Authority where permitted.</w:t>
      </w:r>
    </w:p>
    <w:p w14:paraId="4214BB1F" w14:textId="77777777" w:rsidR="00F00A0B" w:rsidRDefault="00015A15">
      <w:r>
        <w:t>Evidence: Respondent shall provide an ACORD certificate and endorsements evidencing the above prior to contract execution and upon renewal. Insurers must be authorized to do business in Florida and rated A‑/VII or better by A.M. Best (or equivalent). The Authority may adjust limits based on risk.</w:t>
      </w:r>
    </w:p>
    <w:p w14:paraId="305B63D6" w14:textId="77777777" w:rsidR="00F00A0B" w:rsidRDefault="00F00A0B">
      <w:pPr>
        <w:pBdr>
          <w:bottom w:val="single" w:sz="6" w:space="1" w:color="auto"/>
        </w:pBdr>
      </w:pPr>
    </w:p>
    <w:p w14:paraId="3D11DED6" w14:textId="77777777" w:rsidR="00F00A0B" w:rsidRDefault="00015A15">
      <w:pPr>
        <w:pStyle w:val="Heading3"/>
      </w:pPr>
      <w:r>
        <w:lastRenderedPageBreak/>
        <w:t>Attachment J: Trade Secret/Confidential Information Designation and Redaction Index</w:t>
      </w:r>
    </w:p>
    <w:p w14:paraId="719E8644" w14:textId="77777777" w:rsidR="00F00A0B" w:rsidRDefault="00015A15">
      <w:r>
        <w:t>Instructions: Florida’s Public Records Law presumes that all documents submitted to the Authority are public records subject to disclosure unless an exemption applies. If Respondent contends that any portion of its submission contains trade secrets or other information exempt from disclosure, Respondent must:</w:t>
      </w:r>
    </w:p>
    <w:p w14:paraId="6991C654" w14:textId="77777777" w:rsidR="00F00A0B" w:rsidRDefault="00015A15">
      <w:pPr>
        <w:pStyle w:val="ListNumber"/>
        <w:numPr>
          <w:ilvl w:val="0"/>
          <w:numId w:val="14"/>
        </w:numPr>
      </w:pPr>
      <w:r>
        <w:t>Clearly mark each page and specific content claimed as "CONFIDENTIAL/EXEMPT" and cite the specific legal basis for exemption.</w:t>
      </w:r>
    </w:p>
    <w:p w14:paraId="18726673" w14:textId="77777777" w:rsidR="00F00A0B" w:rsidRDefault="00015A15">
      <w:pPr>
        <w:pStyle w:val="ListNumber"/>
        <w:numPr>
          <w:ilvl w:val="0"/>
          <w:numId w:val="14"/>
        </w:numPr>
      </w:pPr>
      <w:r>
        <w:t>Provide a separate, redacted version of the proposal that the Authority can release to the public.</w:t>
      </w:r>
    </w:p>
    <w:p w14:paraId="77D10CC3" w14:textId="77777777" w:rsidR="00F00A0B" w:rsidRDefault="00015A15">
      <w:pPr>
        <w:pStyle w:val="ListNumber"/>
        <w:numPr>
          <w:ilvl w:val="0"/>
          <w:numId w:val="14"/>
        </w:numPr>
      </w:pPr>
      <w:r>
        <w:t>Complete the Redaction Index below identifying each page/section redacted and the legal basis.</w:t>
      </w:r>
    </w:p>
    <w:p w14:paraId="29E37D84" w14:textId="77777777" w:rsidR="00F00A0B" w:rsidRDefault="00015A15">
      <w:pPr>
        <w:pStyle w:val="ListNumber"/>
        <w:numPr>
          <w:ilvl w:val="0"/>
          <w:numId w:val="14"/>
        </w:numPr>
      </w:pPr>
      <w:r>
        <w:t>Agree to defend and indemnify the Authority for costs (including attorney fees) incurred in responding to public records requests for materials designated as confidential by Respondent, to the extent permitted by law.</w:t>
      </w:r>
    </w:p>
    <w:p w14:paraId="1753015B" w14:textId="77777777" w:rsidR="00F00A0B" w:rsidRDefault="00015A15">
      <w:r>
        <w:t>Redaction Index:</w:t>
      </w:r>
    </w:p>
    <w:tbl>
      <w:tblPr>
        <w:tblW w:w="0" w:type="auto"/>
        <w:tblLook w:val="04A0" w:firstRow="1" w:lastRow="0" w:firstColumn="1" w:lastColumn="0" w:noHBand="0" w:noVBand="1"/>
      </w:tblPr>
      <w:tblGrid>
        <w:gridCol w:w="2335"/>
        <w:gridCol w:w="2334"/>
        <w:gridCol w:w="2333"/>
        <w:gridCol w:w="2338"/>
      </w:tblGrid>
      <w:tr w:rsidR="00F00A0B" w14:paraId="2FCF18CE" w14:textId="77777777">
        <w:tc>
          <w:tcPr>
            <w:tcW w:w="2340" w:type="dxa"/>
            <w:tcBorders>
              <w:top w:val="single" w:sz="8" w:space="0" w:color="000000"/>
              <w:left w:val="single" w:sz="8" w:space="0" w:color="000000"/>
              <w:bottom w:val="single" w:sz="8" w:space="0" w:color="000000"/>
              <w:right w:val="single" w:sz="8" w:space="0" w:color="000000"/>
            </w:tcBorders>
            <w:shd w:val="clear" w:color="auto" w:fill="D3D3D3"/>
          </w:tcPr>
          <w:p w14:paraId="6667AFB6" w14:textId="77777777" w:rsidR="00F00A0B" w:rsidRDefault="00015A15">
            <w:r>
              <w:rPr>
                <w:b/>
              </w:rPr>
              <w:t>Proposal Page/Section</w:t>
            </w:r>
          </w:p>
        </w:tc>
        <w:tc>
          <w:tcPr>
            <w:tcW w:w="2340" w:type="dxa"/>
            <w:tcBorders>
              <w:top w:val="single" w:sz="8" w:space="0" w:color="000000"/>
              <w:left w:val="single" w:sz="8" w:space="0" w:color="000000"/>
              <w:bottom w:val="single" w:sz="8" w:space="0" w:color="000000"/>
              <w:right w:val="single" w:sz="8" w:space="0" w:color="000000"/>
            </w:tcBorders>
            <w:shd w:val="clear" w:color="auto" w:fill="D3D3D3"/>
          </w:tcPr>
          <w:p w14:paraId="32CCC70A" w14:textId="63E83CC9" w:rsidR="00F00A0B" w:rsidRDefault="00015A15" w:rsidP="005648FC">
            <w:pPr>
              <w:jc w:val="left"/>
            </w:pPr>
            <w:r>
              <w:rPr>
                <w:b/>
              </w:rPr>
              <w:t>Description</w:t>
            </w:r>
            <w:r w:rsidR="005648FC">
              <w:rPr>
                <w:b/>
              </w:rPr>
              <w:t xml:space="preserve"> </w:t>
            </w:r>
            <w:r>
              <w:rPr>
                <w:b/>
              </w:rPr>
              <w:t>of Redacted Content</w:t>
            </w:r>
          </w:p>
        </w:tc>
        <w:tc>
          <w:tcPr>
            <w:tcW w:w="2340" w:type="dxa"/>
            <w:tcBorders>
              <w:top w:val="single" w:sz="8" w:space="0" w:color="000000"/>
              <w:left w:val="single" w:sz="8" w:space="0" w:color="000000"/>
              <w:bottom w:val="single" w:sz="8" w:space="0" w:color="000000"/>
              <w:right w:val="single" w:sz="8" w:space="0" w:color="000000"/>
            </w:tcBorders>
            <w:shd w:val="clear" w:color="auto" w:fill="D3D3D3"/>
          </w:tcPr>
          <w:p w14:paraId="74FC9003" w14:textId="77777777" w:rsidR="00F00A0B" w:rsidRDefault="00015A15">
            <w:r>
              <w:rPr>
                <w:b/>
              </w:rPr>
              <w:t>Exemption Claimed (cite statute)</w:t>
            </w:r>
          </w:p>
        </w:tc>
        <w:tc>
          <w:tcPr>
            <w:tcW w:w="2340" w:type="dxa"/>
            <w:tcBorders>
              <w:top w:val="single" w:sz="8" w:space="0" w:color="000000"/>
              <w:left w:val="single" w:sz="8" w:space="0" w:color="000000"/>
              <w:bottom w:val="single" w:sz="8" w:space="0" w:color="000000"/>
              <w:right w:val="single" w:sz="8" w:space="0" w:color="000000"/>
            </w:tcBorders>
            <w:shd w:val="clear" w:color="auto" w:fill="D3D3D3"/>
          </w:tcPr>
          <w:p w14:paraId="182DCAF0" w14:textId="77777777" w:rsidR="00F00A0B" w:rsidRDefault="00015A15">
            <w:r>
              <w:rPr>
                <w:b/>
              </w:rPr>
              <w:t>Basis/Explanation</w:t>
            </w:r>
          </w:p>
        </w:tc>
      </w:tr>
      <w:tr w:rsidR="00F00A0B" w14:paraId="4399DD3B" w14:textId="77777777">
        <w:tc>
          <w:tcPr>
            <w:tcW w:w="2340" w:type="dxa"/>
            <w:tcBorders>
              <w:top w:val="single" w:sz="8" w:space="0" w:color="000000"/>
              <w:left w:val="single" w:sz="8" w:space="0" w:color="000000"/>
              <w:bottom w:val="single" w:sz="8" w:space="0" w:color="000000"/>
              <w:right w:val="single" w:sz="8" w:space="0" w:color="000000"/>
            </w:tcBorders>
          </w:tcPr>
          <w:p w14:paraId="36F7527B" w14:textId="77777777" w:rsidR="00F00A0B" w:rsidRDefault="00F00A0B">
            <w:pPr>
              <w:jc w:val="center"/>
            </w:pPr>
          </w:p>
        </w:tc>
        <w:tc>
          <w:tcPr>
            <w:tcW w:w="2340" w:type="dxa"/>
            <w:tcBorders>
              <w:top w:val="single" w:sz="8" w:space="0" w:color="000000"/>
              <w:left w:val="single" w:sz="8" w:space="0" w:color="000000"/>
              <w:bottom w:val="single" w:sz="8" w:space="0" w:color="000000"/>
              <w:right w:val="single" w:sz="8" w:space="0" w:color="000000"/>
            </w:tcBorders>
          </w:tcPr>
          <w:p w14:paraId="492402A3" w14:textId="77777777" w:rsidR="00F00A0B" w:rsidRDefault="00F00A0B">
            <w:pPr>
              <w:jc w:val="center"/>
            </w:pPr>
          </w:p>
        </w:tc>
        <w:tc>
          <w:tcPr>
            <w:tcW w:w="2340" w:type="dxa"/>
            <w:tcBorders>
              <w:top w:val="single" w:sz="8" w:space="0" w:color="000000"/>
              <w:left w:val="single" w:sz="8" w:space="0" w:color="000000"/>
              <w:bottom w:val="single" w:sz="8" w:space="0" w:color="000000"/>
              <w:right w:val="single" w:sz="8" w:space="0" w:color="000000"/>
            </w:tcBorders>
          </w:tcPr>
          <w:p w14:paraId="05860BC6" w14:textId="77777777" w:rsidR="00F00A0B" w:rsidRDefault="00F00A0B">
            <w:pPr>
              <w:jc w:val="center"/>
            </w:pPr>
          </w:p>
        </w:tc>
        <w:tc>
          <w:tcPr>
            <w:tcW w:w="2340" w:type="dxa"/>
            <w:tcBorders>
              <w:top w:val="single" w:sz="8" w:space="0" w:color="000000"/>
              <w:left w:val="single" w:sz="8" w:space="0" w:color="000000"/>
              <w:bottom w:val="single" w:sz="8" w:space="0" w:color="000000"/>
              <w:right w:val="single" w:sz="8" w:space="0" w:color="000000"/>
            </w:tcBorders>
          </w:tcPr>
          <w:p w14:paraId="027E5545" w14:textId="77777777" w:rsidR="00F00A0B" w:rsidRDefault="00F00A0B">
            <w:pPr>
              <w:jc w:val="center"/>
            </w:pPr>
          </w:p>
        </w:tc>
      </w:tr>
    </w:tbl>
    <w:p w14:paraId="00C8FDE0" w14:textId="77777777" w:rsidR="00F00A0B" w:rsidRDefault="00F00A0B"/>
    <w:p w14:paraId="39C031E6" w14:textId="77777777" w:rsidR="00F00A0B" w:rsidRDefault="00015A15">
      <w:r>
        <w:t>Note: Designation of information as confidential does not guarantee that it is exempt from disclosure. Trade secret status must meet applicable legal standards.</w:t>
      </w:r>
    </w:p>
    <w:p w14:paraId="1D470EE3" w14:textId="77777777" w:rsidR="00F00A0B" w:rsidRDefault="00F00A0B">
      <w:pPr>
        <w:pBdr>
          <w:bottom w:val="single" w:sz="6" w:space="1" w:color="auto"/>
        </w:pBdr>
      </w:pPr>
    </w:p>
    <w:p w14:paraId="4A12E099" w14:textId="77777777" w:rsidR="00F00A0B" w:rsidRDefault="00015A15">
      <w:pPr>
        <w:pStyle w:val="Heading3"/>
      </w:pPr>
      <w:r>
        <w:t>Attachment K: Federal Contract Provisions and Certifications (to the extent applicable)</w:t>
      </w:r>
    </w:p>
    <w:p w14:paraId="513F2805" w14:textId="77777777" w:rsidR="00F00A0B" w:rsidRDefault="00015A15">
      <w:r>
        <w:t>A. Civil Rights – 49 U.S.C. § 47123. In all activities within the scope of the Authority’s airport program, Contractor agrees to comply with pertinent statutes, Executive Orders, and the Title VI List of Pertinent Nondiscrimination Acts and Authorities to ensure that no person shall, on the grounds of race, color, national origin (including limited English proficiency), creed, sex (including sexual orientation and gender identity), age, or disability be excluded from participation in, be denied the benefits of, or be otherwise subjected to discrimination under any activity conducted with or benefiting from Federal assistance. This provision is in addition to that required by Title VI of the Civil Rights Act of 1964.</w:t>
      </w:r>
    </w:p>
    <w:p w14:paraId="7EEF2ADE" w14:textId="77777777" w:rsidR="00F00A0B" w:rsidRDefault="00015A15">
      <w:r>
        <w:t xml:space="preserve">B. Nondiscrimination. During solicitations of subcontracts, labor, materials, and/or equipment and during performance, Contractor, for itself, subcontractors, representatives, successors in interest, and assigns, covenants and agrees not to participate directly or indirectly in discriminatory activity of any kind and that no person on the ground of race, color, or national origin will be subjected to discrimination in the execution of this Agreement, including employment practices and facilities </w:t>
      </w:r>
      <w:r>
        <w:lastRenderedPageBreak/>
        <w:t>(see Appendix B of 49 CFR part 21). In the event of breach of this covenant, the Authority (or the FAA) may withhold payments until compliance is achieved and/or cancel, terminate, or suspend the contract, in whole or in part.</w:t>
      </w:r>
    </w:p>
    <w:p w14:paraId="384C8BCC" w14:textId="77777777" w:rsidR="00F00A0B" w:rsidRDefault="00015A15">
      <w:r>
        <w:t>C. Title VI and Related Law Compliance. The Authority, in accordance with Title VI of the Civil Rights Act of 1964 and the regulations, hereby notifies all bidders or offerors that it will affirmatively ensure that for any contract entered into pursuant to this advertisement, disadvantaged business enterprises or airport concession disadvantaged business enterprises will be afforded full and fair opportunity to submit bids in response to this invitation and no businesses will be discriminated against on the grounds of race, color, national origin (including limited English proficiency), creed, sex (including sexual orientation and gender identity), age, or disability in consideration for an award. Contractor, for itself, subcontractors, assignees, and successors in interest, agrees to comply with the following non-discrimination statutes and authorities, as may be amended from time to time, including but not limited to: (a) Title VI of the Civil Rights Act of 1964 (42 U.S.C. § 2000d et seq.); (b) 49 CFR part 21; (c) Uniform Relocation Assistance and Real Property Acquisition Policies Act of 1970 (42 U.S.C. § 4601); (d) Section 504 of the Rehabilitation Act of 1973 (29 U.S.C. § 794) and 49 CFR part 27; (e) Age Discrimination Act of 1975 (42 U.S.C. § 6101 et seq.); (f) Airport and Airway Improvement Act of 1982, 49 U.S.C. § 471, Section 47123; (g) Civil Rights Restoration Act of 1987 (PL 100-209); (h) Titles II and III of the Americans with Disabilities Act of 1990 (42 U.S.C. §§ 12131–12189) as implemented at 49 CFR parts 37 and 38; (i) FAA’s non-discrimination statute, 49 U.S.C. § 47123; (j) Executive Order 12898 (Environmental Justice); (k) Executive Order 13166 (Limited English Proficiency); and (l) Title IX of the Education Amendments of 1972 (20 U.S.C. § 1681 et seq.).</w:t>
      </w:r>
    </w:p>
    <w:p w14:paraId="6B9BE267" w14:textId="77777777" w:rsidR="00F00A0B" w:rsidRDefault="00015A15">
      <w:r>
        <w:t>D. Non–Title VI Federally Required Provisions. To the extent applicable, Contractor agrees to comply with and flow down to all tiers the following:</w:t>
      </w:r>
    </w:p>
    <w:p w14:paraId="56498CB1" w14:textId="77777777" w:rsidR="00F00A0B" w:rsidRDefault="00015A15">
      <w:pPr>
        <w:pStyle w:val="ListNumber"/>
        <w:numPr>
          <w:ilvl w:val="0"/>
          <w:numId w:val="15"/>
        </w:numPr>
      </w:pPr>
      <w:r>
        <w:t>Federal Fair Labor Standards Act (29 U.S.C. § 201 et seq.) and overtime requirements; insert these requirements in all subcontracts.</w:t>
      </w:r>
    </w:p>
    <w:p w14:paraId="5EA74521" w14:textId="77777777" w:rsidR="00F00A0B" w:rsidRDefault="00015A15">
      <w:pPr>
        <w:pStyle w:val="ListNumber"/>
        <w:numPr>
          <w:ilvl w:val="0"/>
          <w:numId w:val="15"/>
        </w:numPr>
      </w:pPr>
      <w:r>
        <w:t>Solicitations for Subcontracts, Including Procurements of Materials and Equipment: notify each potential subcontractor/supplier of the obligations under this Agreement and the Nondiscrimination Acts and Authorities; incorporate prime contract requirements into subcontracts; furnish proof of such provisions upon request.</w:t>
      </w:r>
    </w:p>
    <w:p w14:paraId="5213F33B" w14:textId="77777777" w:rsidR="00F00A0B" w:rsidRDefault="00015A15">
      <w:pPr>
        <w:pStyle w:val="ListNumber"/>
        <w:numPr>
          <w:ilvl w:val="0"/>
          <w:numId w:val="15"/>
        </w:numPr>
      </w:pPr>
      <w:r>
        <w:t>Occupational Safety and Health Act of 1970 (29 CFR part 1910).</w:t>
      </w:r>
    </w:p>
    <w:p w14:paraId="6266FC04" w14:textId="77777777" w:rsidR="00F00A0B" w:rsidRDefault="00015A15">
      <w:pPr>
        <w:pStyle w:val="ListNumber"/>
        <w:numPr>
          <w:ilvl w:val="0"/>
          <w:numId w:val="15"/>
        </w:numPr>
      </w:pPr>
      <w:r>
        <w:t>Information and Reports: provide all information and reports required by the Acts, Regulations, and directives; permit access to books and facilities; certify efforts to obtain information held exclusively by another if refused.</w:t>
      </w:r>
    </w:p>
    <w:p w14:paraId="23DF20A3" w14:textId="77777777" w:rsidR="00F00A0B" w:rsidRDefault="00015A15">
      <w:pPr>
        <w:pStyle w:val="ListNumber"/>
        <w:numPr>
          <w:ilvl w:val="0"/>
          <w:numId w:val="15"/>
        </w:numPr>
      </w:pPr>
      <w:r>
        <w:t>Sanctions for Noncompliance: withholding of payments and/or cancellation, termination, or suspension, in whole or in part.</w:t>
      </w:r>
    </w:p>
    <w:p w14:paraId="41F3D85E" w14:textId="77777777" w:rsidR="00F00A0B" w:rsidRDefault="00015A15">
      <w:pPr>
        <w:pStyle w:val="ListNumber"/>
        <w:numPr>
          <w:ilvl w:val="0"/>
          <w:numId w:val="15"/>
        </w:numPr>
      </w:pPr>
      <w:r>
        <w:t>Incorporation of Provisions: include the substance of these provisions in every subcontract and take action as the Authority or FAA may direct to enforce such provisions; the Contractor may request the Authority or the United States to enter into litigation to protect their interests.</w:t>
      </w:r>
    </w:p>
    <w:p w14:paraId="42C06F1B" w14:textId="77777777" w:rsidR="00F00A0B" w:rsidRDefault="00015A15">
      <w:pPr>
        <w:pStyle w:val="ListNumber"/>
        <w:numPr>
          <w:ilvl w:val="0"/>
          <w:numId w:val="15"/>
        </w:numPr>
      </w:pPr>
      <w:r>
        <w:t>Veteran’s Preference (49 U.S.C. § 47112): give preference, in the employment of labor (excluding executive, administrative, and supervisory positions), to covered veterans when readily available and qualified.</w:t>
      </w:r>
    </w:p>
    <w:p w14:paraId="6B733A4B" w14:textId="77777777" w:rsidR="00F00A0B" w:rsidRDefault="00015A15">
      <w:pPr>
        <w:pStyle w:val="ListNumber"/>
        <w:numPr>
          <w:ilvl w:val="0"/>
          <w:numId w:val="15"/>
        </w:numPr>
      </w:pPr>
      <w:r>
        <w:lastRenderedPageBreak/>
        <w:t>Clean Air and Water Pollution Control: comply with the Clean Air Act (42 U.S.C. §§ 7401–7671q) and the Federal Water Pollution Control Act (33 U.S.C. §§ 1251–1387); report violations to the Authority immediately; include in subcontracts exceeding $150,000.</w:t>
      </w:r>
    </w:p>
    <w:p w14:paraId="3E904722" w14:textId="77777777" w:rsidR="00F00A0B" w:rsidRDefault="00015A15">
      <w:pPr>
        <w:pStyle w:val="ListNumber"/>
        <w:numPr>
          <w:ilvl w:val="0"/>
          <w:numId w:val="15"/>
        </w:numPr>
      </w:pPr>
      <w:r>
        <w:t>Copeland “Anti‑Kickback” Act (18 U.S.C. § 874; 40 U.S.C. § 3145; 29 CFR part 3).</w:t>
      </w:r>
    </w:p>
    <w:p w14:paraId="4005AECE" w14:textId="77777777" w:rsidR="00F00A0B" w:rsidRDefault="00015A15">
      <w:pPr>
        <w:pStyle w:val="ListNumber"/>
        <w:numPr>
          <w:ilvl w:val="0"/>
          <w:numId w:val="15"/>
        </w:numPr>
      </w:pPr>
      <w:r>
        <w:t>Davis‑Bacon Act requirements (to the extent applicable): pay prevailing wages and fringe benefits; comply with 29 CFR part 3 (Copeland Act) where applicable.</w:t>
      </w:r>
    </w:p>
    <w:p w14:paraId="350FEB4E" w14:textId="77777777" w:rsidR="00F00A0B" w:rsidRDefault="00015A15">
      <w:pPr>
        <w:pStyle w:val="ListNumber"/>
        <w:numPr>
          <w:ilvl w:val="0"/>
          <w:numId w:val="15"/>
        </w:numPr>
      </w:pPr>
      <w:r>
        <w:t>Certification Regarding Debarment/Suspension: certify that neither Contractor nor its principals nor subcontractors are debarred or suspended by any Federal agency.</w:t>
      </w:r>
    </w:p>
    <w:p w14:paraId="3EC2DA57" w14:textId="77777777" w:rsidR="00F00A0B" w:rsidRDefault="00015A15">
      <w:pPr>
        <w:pStyle w:val="ListNumber"/>
        <w:numPr>
          <w:ilvl w:val="0"/>
          <w:numId w:val="15"/>
        </w:numPr>
      </w:pPr>
      <w:r>
        <w:t>Texting While Driving; Video Surveillance and Telecommunications: promote policies to reduce distracted driving in accordance with Executive Order 13513 and DOT Order 3902.10; comply with mandatory standards on covered telecommunications/video surveillance equipment.</w:t>
      </w:r>
    </w:p>
    <w:p w14:paraId="543F0EA0" w14:textId="77777777" w:rsidR="00F00A0B" w:rsidRDefault="00015A15">
      <w:pPr>
        <w:pStyle w:val="ListNumber"/>
        <w:numPr>
          <w:ilvl w:val="0"/>
          <w:numId w:val="15"/>
        </w:numPr>
      </w:pPr>
      <w:r>
        <w:t>Safe Work Environment: comply with 29 CFR part 1910.</w:t>
      </w:r>
    </w:p>
    <w:p w14:paraId="1220F3DC" w14:textId="77777777" w:rsidR="00F00A0B" w:rsidRDefault="00015A15">
      <w:pPr>
        <w:pStyle w:val="ListNumber"/>
        <w:numPr>
          <w:ilvl w:val="0"/>
          <w:numId w:val="15"/>
        </w:numPr>
      </w:pPr>
      <w:r>
        <w:t>Tax Delinquency and Felony Convictions: certify no unpaid federal tax liability as described and no criminal conviction under federal law within the preceding 24 months.</w:t>
      </w:r>
    </w:p>
    <w:p w14:paraId="1537E956" w14:textId="77777777" w:rsidR="00F00A0B" w:rsidRDefault="00015A15">
      <w:pPr>
        <w:pStyle w:val="ListNumber"/>
        <w:numPr>
          <w:ilvl w:val="0"/>
          <w:numId w:val="15"/>
        </w:numPr>
      </w:pPr>
      <w:r>
        <w:t>Trade Restriction Certification: certify as to ownership/controls and subcontracts consistent with USTR lists; flow down to lower tiers; acknowledge potential remedies for erroneous certification.</w:t>
      </w:r>
    </w:p>
    <w:p w14:paraId="1CFF3461" w14:textId="77777777" w:rsidR="00F00A0B" w:rsidRDefault="00015A15">
      <w:pPr>
        <w:pStyle w:val="ListNumber"/>
        <w:numPr>
          <w:ilvl w:val="0"/>
          <w:numId w:val="15"/>
        </w:numPr>
      </w:pPr>
      <w:r>
        <w:t>Buy American and Domestic Preferences: to the greatest extent practicable provide preference for U.S.-produced goods, products, and materials (2 CFR § 200.322); and, to the extent applicable, comply with 49 U.S.C. § 50101, Build America, Buy America (BABA), and other Made in America laws and FAA policies; include required certifications or waiver documentation.</w:t>
      </w:r>
    </w:p>
    <w:p w14:paraId="05892032" w14:textId="77777777" w:rsidR="00F00A0B" w:rsidRDefault="00015A15">
      <w:r>
        <w:t>E. Flow‑Down. Contractor shall include the substance of all applicable provisions in this Attachment K in each subcontract, including procurements of materials and leases of equipment.</w:t>
      </w:r>
    </w:p>
    <w:p w14:paraId="78A4BF0E" w14:textId="77777777" w:rsidR="00F00A0B" w:rsidRDefault="00015A15">
      <w:r>
        <w:t>F. Remedies. The Authority or FAA may exercise any remedy available at law or in equity for noncompliance, including those stated above.</w:t>
      </w:r>
    </w:p>
    <w:p w14:paraId="63427252" w14:textId="77777777" w:rsidR="00F00A0B" w:rsidRDefault="00F00A0B">
      <w:pPr>
        <w:pBdr>
          <w:bottom w:val="single" w:sz="6" w:space="1" w:color="auto"/>
        </w:pBdr>
      </w:pPr>
    </w:p>
    <w:p w14:paraId="0728A5E9" w14:textId="77777777" w:rsidR="00F00A0B" w:rsidRDefault="00015A15">
      <w:pPr>
        <w:pStyle w:val="Heading3"/>
      </w:pPr>
      <w:r>
        <w:t>Attachment L: Additional Federal Certifications (to the extent applicable)</w:t>
      </w:r>
    </w:p>
    <w:p w14:paraId="3D718142" w14:textId="77777777" w:rsidR="00F00A0B" w:rsidRDefault="00015A15">
      <w:pPr>
        <w:pStyle w:val="ListNumber"/>
        <w:numPr>
          <w:ilvl w:val="0"/>
          <w:numId w:val="16"/>
        </w:numPr>
      </w:pPr>
      <w:r>
        <w:t>Certification Regarding Debarment, Suspension, Ineligibility, and Voluntary Exclusion</w:t>
      </w:r>
    </w:p>
    <w:p w14:paraId="4678A1DC" w14:textId="77777777" w:rsidR="00F00A0B" w:rsidRDefault="00015A15">
      <w:pPr>
        <w:pStyle w:val="ListBullet"/>
      </w:pPr>
      <w:r>
        <w:t>Contractor Legal Name: ________________________________</w:t>
      </w:r>
    </w:p>
    <w:p w14:paraId="1CE64972" w14:textId="77777777" w:rsidR="00F00A0B" w:rsidRDefault="00015A15">
      <w:pPr>
        <w:pStyle w:val="ListBullet"/>
      </w:pPr>
      <w:r>
        <w:t>DUNS/UEI (if applicable): _____________________________</w:t>
      </w:r>
    </w:p>
    <w:p w14:paraId="499C49B2" w14:textId="77777777" w:rsidR="00F00A0B" w:rsidRDefault="00015A15">
      <w:pPr>
        <w:pStyle w:val="ListBullet"/>
      </w:pPr>
      <w:r>
        <w:t>Authorized Signature: _________________________________ Date: _______</w:t>
      </w:r>
    </w:p>
    <w:p w14:paraId="0BC3FCBF" w14:textId="77777777" w:rsidR="00F00A0B" w:rsidRDefault="00015A15">
      <w:pPr>
        <w:pStyle w:val="ListBullet"/>
      </w:pPr>
      <w:r>
        <w:t>Printed Name/Title: ____________________________________ By signing, Contractor certifies that neither it nor its principals nor its subcontractors are presently debarred, suspended, proposed for debarment, declared ineligible, or voluntarily excluded from participation by any federal department or agency.</w:t>
      </w:r>
    </w:p>
    <w:p w14:paraId="78C3DF02" w14:textId="77777777" w:rsidR="00F00A0B" w:rsidRDefault="00015A15">
      <w:pPr>
        <w:pStyle w:val="ListNumber"/>
        <w:numPr>
          <w:ilvl w:val="0"/>
          <w:numId w:val="17"/>
        </w:numPr>
      </w:pPr>
      <w:r>
        <w:t>Trade Restriction Certification</w:t>
      </w:r>
    </w:p>
    <w:p w14:paraId="0D4F55B4" w14:textId="77777777" w:rsidR="00F00A0B" w:rsidRDefault="00015A15">
      <w:pPr>
        <w:pStyle w:val="ListBullet"/>
      </w:pPr>
      <w:r>
        <w:t>Contractor Legal Name: ________________________________</w:t>
      </w:r>
    </w:p>
    <w:p w14:paraId="3797852D" w14:textId="77777777" w:rsidR="00F00A0B" w:rsidRDefault="00015A15">
      <w:pPr>
        <w:pStyle w:val="ListBullet"/>
      </w:pPr>
      <w:r>
        <w:t>Authorized Signature: _________________________________ Date: _______</w:t>
      </w:r>
    </w:p>
    <w:p w14:paraId="4ADCDE52" w14:textId="77777777" w:rsidR="00F00A0B" w:rsidRDefault="00015A15">
      <w:pPr>
        <w:pStyle w:val="ListBullet"/>
      </w:pPr>
      <w:r>
        <w:lastRenderedPageBreak/>
        <w:t>Printed Name/Title: ____________________________________ Contractor makes the trade restriction certifications set forth in Attachment K, Item 15.</w:t>
      </w:r>
    </w:p>
    <w:p w14:paraId="1649DADD" w14:textId="77777777" w:rsidR="00F00A0B" w:rsidRDefault="00015A15">
      <w:pPr>
        <w:pStyle w:val="ListNumber"/>
        <w:numPr>
          <w:ilvl w:val="0"/>
          <w:numId w:val="18"/>
        </w:numPr>
      </w:pPr>
      <w:r>
        <w:t>Tax Delinquency and Felony Convictions Certification</w:t>
      </w:r>
    </w:p>
    <w:p w14:paraId="2A5E196B" w14:textId="77777777" w:rsidR="00F00A0B" w:rsidRDefault="00015A15">
      <w:pPr>
        <w:pStyle w:val="ListBullet"/>
      </w:pPr>
      <w:r>
        <w:t>Contractor Legal Name: ________________________________</w:t>
      </w:r>
    </w:p>
    <w:p w14:paraId="7701DC22" w14:textId="77777777" w:rsidR="00F00A0B" w:rsidRDefault="00015A15">
      <w:pPr>
        <w:pStyle w:val="ListBullet"/>
      </w:pPr>
      <w:r>
        <w:t>Authorized Signature: _________________________________ Date: _______</w:t>
      </w:r>
    </w:p>
    <w:p w14:paraId="1D670262" w14:textId="77777777" w:rsidR="00F00A0B" w:rsidRDefault="00015A15">
      <w:pPr>
        <w:pStyle w:val="ListBullet"/>
      </w:pPr>
      <w:r>
        <w:t>Printed Name/Title: ____________________________________ Contractor certifies it has no unpaid federal tax liability as described and has not been convicted of a criminal violation under any federal law within the preceding 24 months.</w:t>
      </w:r>
    </w:p>
    <w:p w14:paraId="13D33129" w14:textId="77777777" w:rsidR="00F00A0B" w:rsidRDefault="00015A15">
      <w:pPr>
        <w:pStyle w:val="ListNumber"/>
        <w:numPr>
          <w:ilvl w:val="0"/>
          <w:numId w:val="19"/>
        </w:numPr>
      </w:pPr>
      <w:r>
        <w:t>Buy American/Build America Acknowledgment and Certification (if applicable)</w:t>
      </w:r>
    </w:p>
    <w:p w14:paraId="2811B748" w14:textId="77777777" w:rsidR="00F00A0B" w:rsidRDefault="00015A15">
      <w:pPr>
        <w:pStyle w:val="ListBullet"/>
      </w:pPr>
      <w:r>
        <w:t>Contractor Legal Name: ________________________________</w:t>
      </w:r>
    </w:p>
    <w:p w14:paraId="4AB10046" w14:textId="77777777" w:rsidR="00F00A0B" w:rsidRDefault="00015A15">
      <w:pPr>
        <w:pStyle w:val="ListBullet"/>
      </w:pPr>
      <w:r>
        <w:t>Project/Scope: ________________________________________</w:t>
      </w:r>
    </w:p>
    <w:p w14:paraId="03646356" w14:textId="77777777" w:rsidR="00F00A0B" w:rsidRDefault="00015A15">
      <w:pPr>
        <w:pStyle w:val="ListBullet"/>
      </w:pPr>
      <w:r>
        <w:t>Authorized Signature: _________________________________ Date: _______</w:t>
      </w:r>
    </w:p>
    <w:p w14:paraId="3D438EEB" w14:textId="77777777" w:rsidR="00F00A0B" w:rsidRDefault="00015A15">
      <w:pPr>
        <w:pStyle w:val="ListBullet"/>
      </w:pPr>
      <w:r>
        <w:t>Printed Name/Title: ____________________________________ Contractor certifies compliance with 49 U.S.C. § 50101, BABA, and related Made in America laws, or submits applicable FAA waiver documentation.</w:t>
      </w:r>
    </w:p>
    <w:p w14:paraId="63CE9B72" w14:textId="77777777" w:rsidR="00F00A0B" w:rsidRDefault="00015A15">
      <w:pPr>
        <w:pStyle w:val="ListNumber"/>
        <w:numPr>
          <w:ilvl w:val="0"/>
          <w:numId w:val="20"/>
        </w:numPr>
      </w:pPr>
      <w:r>
        <w:t>Veteran’s Preference Acknowledgment</w:t>
      </w:r>
    </w:p>
    <w:p w14:paraId="082E4899" w14:textId="77777777" w:rsidR="00F00A0B" w:rsidRDefault="00015A15">
      <w:pPr>
        <w:pStyle w:val="ListBullet"/>
      </w:pPr>
      <w:r>
        <w:t>Contractor Legal Name: ________________________________</w:t>
      </w:r>
    </w:p>
    <w:p w14:paraId="72A3C36F" w14:textId="77777777" w:rsidR="00F00A0B" w:rsidRDefault="00015A15">
      <w:pPr>
        <w:pStyle w:val="ListBullet"/>
      </w:pPr>
      <w:r>
        <w:t>Authorized Signature: _________________________________ Date: _______</w:t>
      </w:r>
    </w:p>
    <w:p w14:paraId="0F8D7FD3" w14:textId="77777777" w:rsidR="00F00A0B" w:rsidRDefault="00015A15">
      <w:pPr>
        <w:pStyle w:val="ListBullet"/>
      </w:pPr>
      <w:r>
        <w:t>Printed Name/Title: ____________________________________ Contractor acknowledges and agrees to provide veterans’ preference as required by 49 U.S.C. § 47112 when applicable.</w:t>
      </w:r>
    </w:p>
    <w:p w14:paraId="426D76ED" w14:textId="77777777" w:rsidR="00F00A0B" w:rsidRDefault="00F00A0B">
      <w:pPr>
        <w:pBdr>
          <w:bottom w:val="single" w:sz="6" w:space="1" w:color="auto"/>
        </w:pBdr>
      </w:pPr>
    </w:p>
    <w:p w14:paraId="7C78418E" w14:textId="77777777" w:rsidR="00F00A0B" w:rsidRDefault="00015A15">
      <w:r>
        <w:t>For all deliveries, questions, and official communications, refer to the Procurement Contact in Section 6.3. All times referenced are Eastern Time.</w:t>
      </w:r>
    </w:p>
    <w:sectPr w:rsidR="00F00A0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6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11068205">
    <w:abstractNumId w:val="8"/>
  </w:num>
  <w:num w:numId="2" w16cid:durableId="97991629">
    <w:abstractNumId w:val="6"/>
  </w:num>
  <w:num w:numId="3" w16cid:durableId="26149145">
    <w:abstractNumId w:val="5"/>
  </w:num>
  <w:num w:numId="4" w16cid:durableId="977875551">
    <w:abstractNumId w:val="4"/>
  </w:num>
  <w:num w:numId="5" w16cid:durableId="1737122642">
    <w:abstractNumId w:val="7"/>
  </w:num>
  <w:num w:numId="6" w16cid:durableId="2127309958">
    <w:abstractNumId w:val="3"/>
  </w:num>
  <w:num w:numId="7" w16cid:durableId="736827646">
    <w:abstractNumId w:val="2"/>
  </w:num>
  <w:num w:numId="8" w16cid:durableId="1296988633">
    <w:abstractNumId w:val="1"/>
  </w:num>
  <w:num w:numId="9" w16cid:durableId="395973254">
    <w:abstractNumId w:val="0"/>
  </w:num>
  <w:num w:numId="10" w16cid:durableId="1720743157">
    <w:abstractNumId w:val="7"/>
    <w:lvlOverride w:ilvl="0">
      <w:startOverride w:val="1"/>
    </w:lvlOverride>
  </w:num>
  <w:num w:numId="11" w16cid:durableId="1774864054">
    <w:abstractNumId w:val="7"/>
    <w:lvlOverride w:ilvl="0">
      <w:startOverride w:val="1"/>
    </w:lvlOverride>
  </w:num>
  <w:num w:numId="12" w16cid:durableId="499849774">
    <w:abstractNumId w:val="7"/>
    <w:lvlOverride w:ilvl="0">
      <w:startOverride w:val="1"/>
    </w:lvlOverride>
  </w:num>
  <w:num w:numId="13" w16cid:durableId="1261141069">
    <w:abstractNumId w:val="7"/>
    <w:lvlOverride w:ilvl="0">
      <w:startOverride w:val="1"/>
    </w:lvlOverride>
  </w:num>
  <w:num w:numId="14" w16cid:durableId="1634284752">
    <w:abstractNumId w:val="7"/>
    <w:lvlOverride w:ilvl="0">
      <w:startOverride w:val="1"/>
    </w:lvlOverride>
  </w:num>
  <w:num w:numId="15" w16cid:durableId="412246134">
    <w:abstractNumId w:val="7"/>
    <w:lvlOverride w:ilvl="0">
      <w:startOverride w:val="1"/>
    </w:lvlOverride>
  </w:num>
  <w:num w:numId="16" w16cid:durableId="54008426">
    <w:abstractNumId w:val="7"/>
    <w:lvlOverride w:ilvl="0">
      <w:startOverride w:val="1"/>
    </w:lvlOverride>
  </w:num>
  <w:num w:numId="17" w16cid:durableId="286090175">
    <w:abstractNumId w:val="7"/>
    <w:lvlOverride w:ilvl="0">
      <w:startOverride w:val="1"/>
    </w:lvlOverride>
  </w:num>
  <w:num w:numId="18" w16cid:durableId="1447851292">
    <w:abstractNumId w:val="7"/>
    <w:lvlOverride w:ilvl="0">
      <w:startOverride w:val="1"/>
    </w:lvlOverride>
  </w:num>
  <w:num w:numId="19" w16cid:durableId="1418600510">
    <w:abstractNumId w:val="7"/>
    <w:lvlOverride w:ilvl="0">
      <w:startOverride w:val="1"/>
    </w:lvlOverride>
  </w:num>
  <w:num w:numId="20" w16cid:durableId="1921014461">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5A15"/>
    <w:rsid w:val="00034616"/>
    <w:rsid w:val="0006063C"/>
    <w:rsid w:val="0015074B"/>
    <w:rsid w:val="002613D9"/>
    <w:rsid w:val="0029639D"/>
    <w:rsid w:val="003174AA"/>
    <w:rsid w:val="00326F90"/>
    <w:rsid w:val="003B500B"/>
    <w:rsid w:val="004D6BEE"/>
    <w:rsid w:val="0053298A"/>
    <w:rsid w:val="005648FC"/>
    <w:rsid w:val="005817AD"/>
    <w:rsid w:val="00611127"/>
    <w:rsid w:val="006757DD"/>
    <w:rsid w:val="00840C9C"/>
    <w:rsid w:val="008C7ABD"/>
    <w:rsid w:val="00A91AE4"/>
    <w:rsid w:val="00AA1D8D"/>
    <w:rsid w:val="00AB103F"/>
    <w:rsid w:val="00B47730"/>
    <w:rsid w:val="00BC57D0"/>
    <w:rsid w:val="00C06B71"/>
    <w:rsid w:val="00C47D36"/>
    <w:rsid w:val="00CB0664"/>
    <w:rsid w:val="00D63FE0"/>
    <w:rsid w:val="00E14158"/>
    <w:rsid w:val="00EF3D36"/>
    <w:rsid w:val="00F00A0B"/>
    <w:rsid w:val="00F24AE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005033"/>
  <w14:defaultImageDpi w14:val="300"/>
  <w15:docId w15:val="{24A25E29-4764-4041-B962-9B7ED5AC4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line="240" w:lineRule="auto"/>
      <w:jc w:val="both"/>
    </w:pPr>
    <w:rPr>
      <w:rFonts w:ascii="Times New Roman" w:hAnsi="Times New Roman"/>
      <w:color w:val="000000"/>
      <w:sz w:val="24"/>
    </w:rPr>
  </w:style>
  <w:style w:type="paragraph" w:styleId="Heading1">
    <w:name w:val="heading 1"/>
    <w:basedOn w:val="Normal"/>
    <w:next w:val="Normal"/>
    <w:link w:val="Heading1Char"/>
    <w:uiPriority w:val="9"/>
    <w:qFormat/>
    <w:rsid w:val="00FC693F"/>
    <w:pPr>
      <w:keepNext/>
      <w:keepLines/>
      <w:spacing w:before="480" w:after="0" w:line="360" w:lineRule="auto"/>
      <w:outlineLvl w:val="0"/>
    </w:pPr>
    <w:rPr>
      <w:b/>
      <w:bCs/>
      <w:sz w:val="32"/>
      <w:szCs w:val="28"/>
    </w:rPr>
  </w:style>
  <w:style w:type="paragraph" w:styleId="Heading2">
    <w:name w:val="heading 2"/>
    <w:basedOn w:val="Normal"/>
    <w:next w:val="Normal"/>
    <w:link w:val="Heading2Char"/>
    <w:uiPriority w:val="9"/>
    <w:unhideWhenUsed/>
    <w:qFormat/>
    <w:rsid w:val="00FC693F"/>
    <w:pPr>
      <w:keepNext/>
      <w:keepLines/>
      <w:spacing w:before="200" w:after="0" w:line="360" w:lineRule="auto"/>
      <w:outlineLvl w:val="1"/>
    </w:pPr>
    <w:rPr>
      <w:b/>
      <w:bCs/>
      <w:sz w:val="28"/>
      <w:szCs w:val="26"/>
    </w:rPr>
  </w:style>
  <w:style w:type="paragraph" w:styleId="Heading3">
    <w:name w:val="heading 3"/>
    <w:basedOn w:val="Normal"/>
    <w:next w:val="Normal"/>
    <w:link w:val="Heading3Char"/>
    <w:uiPriority w:val="9"/>
    <w:unhideWhenUsed/>
    <w:qFormat/>
    <w:rsid w:val="00FC693F"/>
    <w:pPr>
      <w:keepNext/>
      <w:keepLines/>
      <w:spacing w:before="200" w:after="0" w:line="360" w:lineRule="auto"/>
      <w:outlineLvl w:val="2"/>
    </w:pPr>
    <w:rPr>
      <w:b/>
      <w:bCs/>
      <w:sz w:val="26"/>
    </w:rPr>
  </w:style>
  <w:style w:type="paragraph" w:styleId="Heading4">
    <w:name w:val="heading 4"/>
    <w:basedOn w:val="Normal"/>
    <w:next w:val="Normal"/>
    <w:link w:val="Heading4Char"/>
    <w:uiPriority w:val="9"/>
    <w:semiHidden/>
    <w:unhideWhenUsed/>
    <w:qFormat/>
    <w:rsid w:val="00FC693F"/>
    <w:pPr>
      <w:keepNext/>
      <w:keepLines/>
      <w:spacing w:before="200" w:after="0" w:line="360" w:lineRule="auto"/>
      <w:outlineLvl w:val="3"/>
    </w:pPr>
    <w:rPr>
      <w:b/>
      <w:bCs/>
      <w:i/>
      <w:iCs/>
    </w:rPr>
  </w:style>
  <w:style w:type="paragraph" w:styleId="Heading5">
    <w:name w:val="heading 5"/>
    <w:basedOn w:val="Normal"/>
    <w:next w:val="Normal"/>
    <w:link w:val="Heading5Char"/>
    <w:uiPriority w:val="9"/>
    <w:semiHidden/>
    <w:unhideWhenUsed/>
    <w:qFormat/>
    <w:rsid w:val="00FC693F"/>
    <w:pPr>
      <w:keepNext/>
      <w:keepLines/>
      <w:spacing w:before="200" w:after="0" w:line="360" w:lineRule="auto"/>
      <w:outlineLvl w:val="4"/>
    </w:pPr>
  </w:style>
  <w:style w:type="paragraph" w:styleId="Heading6">
    <w:name w:val="heading 6"/>
    <w:basedOn w:val="Normal"/>
    <w:next w:val="Normal"/>
    <w:link w:val="Heading6Char"/>
    <w:uiPriority w:val="9"/>
    <w:semiHidden/>
    <w:unhideWhenUsed/>
    <w:qFormat/>
    <w:rsid w:val="00FC693F"/>
    <w:pPr>
      <w:keepNext/>
      <w:keepLines/>
      <w:spacing w:before="200" w:after="0" w:line="360" w:lineRule="auto"/>
      <w:outlineLvl w:val="5"/>
    </w:pPr>
    <w:rPr>
      <w:i/>
      <w:iCs/>
    </w:rPr>
  </w:style>
  <w:style w:type="paragraph" w:styleId="Heading7">
    <w:name w:val="heading 7"/>
    <w:basedOn w:val="Normal"/>
    <w:next w:val="Normal"/>
    <w:link w:val="Heading7Char"/>
    <w:uiPriority w:val="9"/>
    <w:semiHidden/>
    <w:unhideWhenUsed/>
    <w:qFormat/>
    <w:rsid w:val="00FC693F"/>
    <w:pPr>
      <w:keepNext/>
      <w:keepLines/>
      <w:spacing w:before="200" w:after="0" w:line="360" w:lineRule="auto"/>
      <w:outlineLvl w:val="6"/>
    </w:pPr>
    <w:rPr>
      <w:i/>
      <w:iCs/>
    </w:rPr>
  </w:style>
  <w:style w:type="paragraph" w:styleId="Heading8">
    <w:name w:val="heading 8"/>
    <w:basedOn w:val="Normal"/>
    <w:next w:val="Normal"/>
    <w:link w:val="Heading8Char"/>
    <w:uiPriority w:val="9"/>
    <w:semiHidden/>
    <w:unhideWhenUsed/>
    <w:qFormat/>
    <w:rsid w:val="00FC693F"/>
    <w:pPr>
      <w:keepNext/>
      <w:keepLines/>
      <w:spacing w:before="200" w:after="0" w:line="360" w:lineRule="auto"/>
      <w:outlineLvl w:val="7"/>
    </w:pPr>
    <w:rPr>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line="360" w:lineRule="auto"/>
      <w:outlineLvl w:val="8"/>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360" w:lineRule="auto"/>
      <w:contextualSpacing/>
    </w:pPr>
    <w:rPr>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spacing w:line="360" w:lineRule="auto"/>
    </w:pPr>
    <w:rPr>
      <w:i/>
      <w:iCs/>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7859</Words>
  <Characters>48572</Characters>
  <Application>Microsoft Office Word</Application>
  <DocSecurity>0</DocSecurity>
  <Lines>796</Lines>
  <Paragraphs>352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56079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cwalker@lippes.com</dc:creator>
  <cp:keywords/>
  <dc:description/>
  <cp:lastModifiedBy>Linda Santiago</cp:lastModifiedBy>
  <cp:revision>14</cp:revision>
  <dcterms:created xsi:type="dcterms:W3CDTF">2025-10-30T17:22:00Z</dcterms:created>
  <dcterms:modified xsi:type="dcterms:W3CDTF">2025-11-12T17:53:00Z</dcterms:modified>
  <cp:category/>
</cp:coreProperties>
</file>